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5764" w14:textId="77777777" w:rsidR="0075298A" w:rsidRDefault="0075298A" w:rsidP="00523CD4"/>
    <w:p w14:paraId="35FE6196" w14:textId="450D5CBC" w:rsidR="0075298A" w:rsidRPr="00BD5FE6" w:rsidRDefault="0075298A" w:rsidP="0075298A">
      <w:pPr>
        <w:spacing w:after="0"/>
        <w:jc w:val="both"/>
        <w:rPr>
          <w:rFonts w:ascii="Arial" w:hAnsi="Arial" w:cs="Arial"/>
          <w:b/>
          <w:bCs/>
        </w:rPr>
      </w:pPr>
      <w:r w:rsidRPr="00BD5FE6">
        <w:rPr>
          <w:rFonts w:ascii="Arial" w:hAnsi="Arial" w:cs="Arial"/>
          <w:b/>
          <w:bCs/>
        </w:rPr>
        <w:t>Vybran</w:t>
      </w:r>
      <w:r w:rsidR="00EB6CC9">
        <w:rPr>
          <w:rFonts w:ascii="Arial" w:hAnsi="Arial" w:cs="Arial"/>
          <w:b/>
          <w:bCs/>
        </w:rPr>
        <w:t>á ustanovení zákona č. 373/2022 Sb.</w:t>
      </w:r>
      <w:r w:rsidR="00EB6CC9" w:rsidRPr="00EB6CC9">
        <w:rPr>
          <w:rFonts w:ascii="Arial" w:hAnsi="Arial" w:cs="Arial"/>
          <w:b/>
          <w:bCs/>
        </w:rPr>
        <w:t>, kterým se mění zákon č. 164/2013 Sb., o mezinárodní spolupráci při správě daní a o změně dalších souvisejících zákonů, ve znění pozdějších předpisů, a další související zákony</w:t>
      </w:r>
    </w:p>
    <w:p w14:paraId="01EC0B95" w14:textId="3BFD811A" w:rsidR="00B66889" w:rsidRPr="00B66889" w:rsidRDefault="00B66889" w:rsidP="00B66889">
      <w:pPr>
        <w:keepNext/>
        <w:keepLines/>
        <w:tabs>
          <w:tab w:val="num" w:pos="567"/>
          <w:tab w:val="left" w:pos="851"/>
        </w:tabs>
        <w:spacing w:before="480" w:after="120" w:line="240" w:lineRule="auto"/>
        <w:ind w:left="567" w:hanging="567"/>
        <w:jc w:val="both"/>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36.  </w:t>
      </w:r>
      <w:r w:rsidRPr="00B66889">
        <w:rPr>
          <w:rFonts w:ascii="Arial" w:eastAsia="Times New Roman" w:hAnsi="Arial" w:cs="Arial"/>
          <w:kern w:val="0"/>
          <w:lang w:eastAsia="cs-CZ"/>
          <w14:ligatures w14:val="none"/>
        </w:rPr>
        <w:tab/>
        <w:t>§ 18 včetně nadpisu zní:</w:t>
      </w:r>
    </w:p>
    <w:p w14:paraId="5784F465" w14:textId="77777777" w:rsidR="00B66889" w:rsidRPr="00B66889" w:rsidRDefault="00B66889" w:rsidP="00B66889">
      <w:pPr>
        <w:keepNext/>
        <w:keepLines/>
        <w:spacing w:before="240" w:after="0" w:line="240" w:lineRule="auto"/>
        <w:jc w:val="center"/>
        <w:outlineLvl w:val="5"/>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18</w:t>
      </w:r>
    </w:p>
    <w:p w14:paraId="22A0B969" w14:textId="77777777" w:rsidR="00B66889" w:rsidRPr="00B66889" w:rsidRDefault="00B66889" w:rsidP="00B66889">
      <w:pPr>
        <w:keepNext/>
        <w:keepLines/>
        <w:numPr>
          <w:ilvl w:val="0"/>
          <w:numId w:val="2"/>
        </w:numPr>
        <w:spacing w:before="240" w:after="0" w:line="240" w:lineRule="auto"/>
        <w:jc w:val="center"/>
        <w:outlineLvl w:val="5"/>
        <w:rPr>
          <w:rFonts w:ascii="Arial" w:eastAsia="Times New Roman" w:hAnsi="Arial" w:cs="Arial"/>
          <w:b/>
          <w:kern w:val="0"/>
          <w:lang w:eastAsia="cs-CZ"/>
          <w14:ligatures w14:val="none"/>
        </w:rPr>
      </w:pPr>
      <w:r w:rsidRPr="00B66889">
        <w:rPr>
          <w:rFonts w:ascii="Arial" w:eastAsia="Times New Roman" w:hAnsi="Arial" w:cs="Arial"/>
          <w:b/>
          <w:kern w:val="0"/>
          <w:lang w:eastAsia="cs-CZ"/>
          <w14:ligatures w14:val="none"/>
        </w:rPr>
        <w:t>Účast při úkonech, dílčích řízeních nebo jiných postupech správce daně</w:t>
      </w:r>
    </w:p>
    <w:p w14:paraId="0AF5BF26"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Kontaktní místo může dožádat kontaktní místo jiného státu, aby se v souladu s podmínkami stanovenými právním řádem jiného státu nebo v souladu s podmínkami stanovenými jejich vzájemnou dohodou mohl správce daně za účelem provádění mezinárodní spolupráce v jiném státě účastnit úkonu, dílčího řízení nebo jiného postupu, a to i na dálku, připouští-li to jejich povaha.</w:t>
      </w:r>
    </w:p>
    <w:p w14:paraId="10B2CBA8"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Na základě žádosti kontaktního místa jiného státu může za účelem provádění mezinárodní spolupráce příslušný orgán jiného státu</w:t>
      </w:r>
    </w:p>
    <w:p w14:paraId="363B9E02"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být přítomen při úkonech, dílčích řízeních nebo jiných postupech,</w:t>
      </w:r>
    </w:p>
    <w:p w14:paraId="2829927D"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klást otázky osobám zúčastněným na správě daní,</w:t>
      </w:r>
    </w:p>
    <w:p w14:paraId="5DE57E21"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nahlížet do spisů správce daně, nebo</w:t>
      </w:r>
    </w:p>
    <w:p w14:paraId="4824A515"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pořizovat kopie písemností, k nimž má správce daně přístup.</w:t>
      </w:r>
    </w:p>
    <w:p w14:paraId="40DE0273"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Úkon, dílčí řízení nebo jiný postup podle odstavce 2 lze provést i na dálku, připouští-li to jejich povaha.</w:t>
      </w:r>
    </w:p>
    <w:p w14:paraId="2010DE3B"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Na základě žádosti kontaktního místa jiného členského státu o mezinárodní spolupráci podle odstavce 2 kontaktní místo do 60 dnů ode dne jejího doručení mezinárodní spolupráci potvrdí nebo ji odmítne spolu s uvedením důvodu pro odmítnutí. Na základě žádosti kontaktního místa smluvního státu dohodne kontaktní místo podmínky, za nichž lze umožnit příslušnému orgánu smluvního státu mezinárodní spolupráci podle odstavce 2. </w:t>
      </w:r>
    </w:p>
    <w:p w14:paraId="422A38DA"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V rozsahu provádění mezinárodní spolupráce podle odstavců 2 až 4 má úřední osoba orgánu jiného státu postavení úřední osoby správce daně a prokazuje se pověřením, které obsahuje</w:t>
      </w:r>
    </w:p>
    <w:p w14:paraId="68D3DE9B"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jméno úřední osoby,</w:t>
      </w:r>
    </w:p>
    <w:p w14:paraId="230FD13A"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služební nebo jiné obdobné označení úřední osoby,</w:t>
      </w:r>
    </w:p>
    <w:p w14:paraId="30DA6DA5"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organizační útvar orgánu, ve kterém je úřední osoba zařazena, popřípadě její jiné pracovní zařazení,</w:t>
      </w:r>
    </w:p>
    <w:p w14:paraId="46AD2909"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rozsah pověření a</w:t>
      </w:r>
    </w:p>
    <w:p w14:paraId="7C0C0CCB" w14:textId="77777777" w:rsidR="00B66889" w:rsidRPr="00B66889" w:rsidRDefault="00B66889" w:rsidP="00B66889">
      <w:pPr>
        <w:numPr>
          <w:ilvl w:val="3"/>
          <w:numId w:val="2"/>
        </w:numPr>
        <w:spacing w:after="0" w:line="240" w:lineRule="auto"/>
        <w:jc w:val="both"/>
        <w:outlineLvl w:val="7"/>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identifikaci správce daně nebo orgánu jiného státu, který pověření vydal.“.</w:t>
      </w:r>
    </w:p>
    <w:p w14:paraId="7553AF5E" w14:textId="77777777" w:rsidR="00B66889" w:rsidRPr="00B66889" w:rsidRDefault="00B66889" w:rsidP="00B66889">
      <w:pPr>
        <w:numPr>
          <w:ilvl w:val="0"/>
          <w:numId w:val="2"/>
        </w:numPr>
        <w:spacing w:before="60" w:after="0" w:line="240" w:lineRule="auto"/>
        <w:jc w:val="both"/>
        <w:rPr>
          <w:rFonts w:ascii="Arial" w:eastAsia="Times New Roman" w:hAnsi="Arial" w:cs="Arial"/>
          <w:i/>
          <w:kern w:val="0"/>
          <w:lang w:eastAsia="cs-CZ"/>
          <w14:ligatures w14:val="none"/>
        </w:rPr>
      </w:pPr>
      <w:r w:rsidRPr="00B66889">
        <w:rPr>
          <w:rFonts w:ascii="Arial" w:eastAsia="Times New Roman" w:hAnsi="Arial" w:cs="Arial"/>
          <w:i/>
          <w:kern w:val="0"/>
          <w:lang w:eastAsia="cs-CZ"/>
          <w14:ligatures w14:val="none"/>
        </w:rPr>
        <w:t>CELEX: 32021L0514</w:t>
      </w:r>
    </w:p>
    <w:p w14:paraId="267BB172" w14:textId="000E346A" w:rsidR="00B66889" w:rsidRPr="00B66889" w:rsidRDefault="00B66889" w:rsidP="00B66889">
      <w:pPr>
        <w:keepNext/>
        <w:keepLines/>
        <w:tabs>
          <w:tab w:val="num" w:pos="567"/>
          <w:tab w:val="left" w:pos="851"/>
        </w:tabs>
        <w:spacing w:before="480" w:after="120" w:line="240" w:lineRule="auto"/>
        <w:ind w:left="567" w:hanging="567"/>
        <w:jc w:val="both"/>
        <w:rPr>
          <w:rFonts w:ascii="Arial" w:eastAsia="Times New Roman" w:hAnsi="Arial" w:cs="Arial"/>
          <w:kern w:val="0"/>
          <w:lang w:eastAsia="cs-CZ"/>
          <w14:ligatures w14:val="none"/>
        </w:rPr>
      </w:pPr>
      <w:bookmarkStart w:id="0" w:name="_Hlk187519425"/>
      <w:r w:rsidRPr="00F6669D">
        <w:rPr>
          <w:rFonts w:ascii="Arial" w:eastAsia="Times New Roman" w:hAnsi="Arial" w:cs="Arial"/>
          <w:kern w:val="0"/>
          <w:lang w:eastAsia="cs-CZ"/>
          <w14:ligatures w14:val="none"/>
        </w:rPr>
        <w:t xml:space="preserve">37.  </w:t>
      </w:r>
      <w:r w:rsidRPr="00F6669D">
        <w:rPr>
          <w:rFonts w:ascii="Arial" w:eastAsia="Times New Roman" w:hAnsi="Arial" w:cs="Arial"/>
          <w:kern w:val="0"/>
          <w:lang w:eastAsia="cs-CZ"/>
          <w14:ligatures w14:val="none"/>
        </w:rPr>
        <w:tab/>
      </w:r>
      <w:r w:rsidRPr="00B66889">
        <w:rPr>
          <w:rFonts w:ascii="Arial" w:eastAsia="Times New Roman" w:hAnsi="Arial" w:cs="Arial"/>
          <w:kern w:val="0"/>
          <w:lang w:eastAsia="cs-CZ"/>
          <w14:ligatures w14:val="none"/>
        </w:rPr>
        <w:t>V § 19 odst. 2 se slova „souběžná daňová kontrola, důvody tohoto stanovení a doba provedení souběžné daňové kontroly“ nahrazují slovy „daňová kontrola nebo místní šetření, důvody svědčící pro jejich provedení a jejich časový rámec“.</w:t>
      </w:r>
    </w:p>
    <w:p w14:paraId="72532579" w14:textId="77777777" w:rsidR="00B66889" w:rsidRPr="00B66889" w:rsidRDefault="00B66889" w:rsidP="00B66889">
      <w:pPr>
        <w:numPr>
          <w:ilvl w:val="0"/>
          <w:numId w:val="2"/>
        </w:numPr>
        <w:spacing w:before="60" w:after="0" w:line="240" w:lineRule="auto"/>
        <w:jc w:val="both"/>
        <w:rPr>
          <w:rFonts w:ascii="Arial" w:eastAsia="Times New Roman" w:hAnsi="Arial" w:cs="Arial"/>
          <w:i/>
          <w:kern w:val="0"/>
          <w:lang w:eastAsia="cs-CZ"/>
          <w14:ligatures w14:val="none"/>
        </w:rPr>
      </w:pPr>
      <w:r w:rsidRPr="00B66889">
        <w:rPr>
          <w:rFonts w:ascii="Arial" w:eastAsia="Times New Roman" w:hAnsi="Arial" w:cs="Arial"/>
          <w:i/>
          <w:kern w:val="0"/>
          <w:lang w:eastAsia="cs-CZ"/>
          <w14:ligatures w14:val="none"/>
        </w:rPr>
        <w:t>CELEX: 32011L0016</w:t>
      </w:r>
    </w:p>
    <w:p w14:paraId="7AD18299" w14:textId="4B39B62A" w:rsidR="00B66889" w:rsidRPr="00B66889" w:rsidRDefault="00B66889" w:rsidP="00B66889">
      <w:pPr>
        <w:keepNext/>
        <w:keepLines/>
        <w:tabs>
          <w:tab w:val="num" w:pos="567"/>
          <w:tab w:val="left" w:pos="851"/>
        </w:tabs>
        <w:spacing w:before="480" w:after="120" w:line="240" w:lineRule="auto"/>
        <w:ind w:left="567" w:hanging="567"/>
        <w:jc w:val="both"/>
        <w:rPr>
          <w:rFonts w:ascii="Arial" w:eastAsia="Times New Roman" w:hAnsi="Arial" w:cs="Arial"/>
          <w:kern w:val="0"/>
          <w:lang w:eastAsia="cs-CZ"/>
          <w14:ligatures w14:val="none"/>
        </w:rPr>
      </w:pPr>
      <w:bookmarkStart w:id="1" w:name="_Hlk187519666"/>
      <w:bookmarkEnd w:id="0"/>
      <w:r w:rsidRPr="00F6669D">
        <w:rPr>
          <w:rFonts w:ascii="Arial" w:eastAsia="Times New Roman" w:hAnsi="Arial" w:cs="Arial"/>
          <w:kern w:val="0"/>
          <w:lang w:eastAsia="cs-CZ"/>
          <w14:ligatures w14:val="none"/>
        </w:rPr>
        <w:lastRenderedPageBreak/>
        <w:t xml:space="preserve">38.   </w:t>
      </w:r>
      <w:r w:rsidRPr="00F6669D">
        <w:rPr>
          <w:rFonts w:ascii="Arial" w:eastAsia="Times New Roman" w:hAnsi="Arial" w:cs="Arial"/>
          <w:kern w:val="0"/>
          <w:lang w:eastAsia="cs-CZ"/>
          <w14:ligatures w14:val="none"/>
        </w:rPr>
        <w:tab/>
      </w:r>
      <w:r w:rsidRPr="00B66889">
        <w:rPr>
          <w:rFonts w:ascii="Arial" w:eastAsia="Times New Roman" w:hAnsi="Arial" w:cs="Arial"/>
          <w:kern w:val="0"/>
          <w:lang w:eastAsia="cs-CZ"/>
          <w14:ligatures w14:val="none"/>
        </w:rPr>
        <w:t>V § 19 odst. 3 se za slovo „kontrolou“ vkládají slova „do 60 dnů od doručení návrhu“ a za slovo „sdělí“ se vkládají slova „v této lhůtě“.</w:t>
      </w:r>
    </w:p>
    <w:p w14:paraId="528C1A4C" w14:textId="4F987DA9" w:rsidR="00B66889" w:rsidRPr="00B66889" w:rsidRDefault="00B66889" w:rsidP="00B66889">
      <w:pPr>
        <w:keepNext/>
        <w:keepLines/>
        <w:tabs>
          <w:tab w:val="num" w:pos="567"/>
          <w:tab w:val="left" w:pos="851"/>
        </w:tabs>
        <w:spacing w:before="480" w:after="120" w:line="240" w:lineRule="auto"/>
        <w:ind w:left="567" w:hanging="567"/>
        <w:jc w:val="both"/>
        <w:rPr>
          <w:rFonts w:ascii="Arial" w:eastAsia="Times New Roman" w:hAnsi="Arial" w:cs="Arial"/>
          <w:kern w:val="0"/>
          <w:lang w:eastAsia="cs-CZ"/>
          <w14:ligatures w14:val="none"/>
        </w:rPr>
      </w:pPr>
      <w:r w:rsidRPr="00F6669D">
        <w:rPr>
          <w:rFonts w:ascii="Arial" w:eastAsia="Times New Roman" w:hAnsi="Arial" w:cs="Arial"/>
          <w:kern w:val="0"/>
          <w:lang w:eastAsia="cs-CZ"/>
          <w14:ligatures w14:val="none"/>
        </w:rPr>
        <w:t>39.</w:t>
      </w:r>
      <w:r w:rsidRPr="00F6669D">
        <w:rPr>
          <w:rFonts w:ascii="Arial" w:eastAsia="Times New Roman" w:hAnsi="Arial" w:cs="Arial"/>
          <w:kern w:val="0"/>
          <w:lang w:eastAsia="cs-CZ"/>
          <w14:ligatures w14:val="none"/>
        </w:rPr>
        <w:tab/>
      </w:r>
      <w:r w:rsidRPr="00B66889">
        <w:rPr>
          <w:rFonts w:ascii="Arial" w:eastAsia="Times New Roman" w:hAnsi="Arial" w:cs="Arial"/>
          <w:kern w:val="0"/>
          <w:lang w:eastAsia="cs-CZ"/>
          <w14:ligatures w14:val="none"/>
        </w:rPr>
        <w:t>Za § 19 se vkládají nové § 19a až 19c, které včetně nadpisů znějí:</w:t>
      </w:r>
    </w:p>
    <w:bookmarkEnd w:id="1"/>
    <w:p w14:paraId="63D9B30B" w14:textId="77777777" w:rsidR="00B66889" w:rsidRPr="00B66889" w:rsidRDefault="00B66889" w:rsidP="00B66889">
      <w:pPr>
        <w:keepNext/>
        <w:keepLines/>
        <w:spacing w:before="240" w:after="0" w:line="240" w:lineRule="auto"/>
        <w:jc w:val="center"/>
        <w:outlineLvl w:val="5"/>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19a</w:t>
      </w:r>
    </w:p>
    <w:p w14:paraId="31B69A3E" w14:textId="77777777" w:rsidR="00B66889" w:rsidRPr="00B66889" w:rsidRDefault="00B66889" w:rsidP="00B66889">
      <w:pPr>
        <w:keepNext/>
        <w:keepLines/>
        <w:numPr>
          <w:ilvl w:val="0"/>
          <w:numId w:val="2"/>
        </w:numPr>
        <w:spacing w:before="240" w:after="0" w:line="240" w:lineRule="auto"/>
        <w:jc w:val="center"/>
        <w:outlineLvl w:val="5"/>
        <w:rPr>
          <w:rFonts w:ascii="Arial" w:eastAsia="Times New Roman" w:hAnsi="Arial" w:cs="Arial"/>
          <w:b/>
          <w:kern w:val="0"/>
          <w:lang w:eastAsia="cs-CZ"/>
          <w14:ligatures w14:val="none"/>
        </w:rPr>
      </w:pPr>
      <w:bookmarkStart w:id="2" w:name="_Hlk93921566"/>
      <w:r w:rsidRPr="00B66889">
        <w:rPr>
          <w:rFonts w:ascii="Arial" w:eastAsia="Times New Roman" w:hAnsi="Arial" w:cs="Arial"/>
          <w:b/>
          <w:kern w:val="0"/>
          <w:lang w:eastAsia="cs-CZ"/>
          <w14:ligatures w14:val="none"/>
        </w:rPr>
        <w:t xml:space="preserve">Společná daňová kontrola </w:t>
      </w:r>
      <w:bookmarkStart w:id="3" w:name="_Hlk93923477"/>
      <w:r w:rsidRPr="00B66889">
        <w:rPr>
          <w:rFonts w:ascii="Arial" w:eastAsia="Times New Roman" w:hAnsi="Arial" w:cs="Arial"/>
          <w:b/>
          <w:kern w:val="0"/>
          <w:lang w:eastAsia="cs-CZ"/>
          <w14:ligatures w14:val="none"/>
        </w:rPr>
        <w:t>v</w:t>
      </w:r>
      <w:bookmarkEnd w:id="2"/>
      <w:r w:rsidRPr="00B66889">
        <w:rPr>
          <w:rFonts w:ascii="Arial" w:eastAsia="Times New Roman" w:hAnsi="Arial" w:cs="Arial"/>
          <w:b/>
          <w:kern w:val="0"/>
          <w:lang w:eastAsia="cs-CZ"/>
          <w14:ligatures w14:val="none"/>
        </w:rPr>
        <w:t xml:space="preserve"> České republice</w:t>
      </w:r>
      <w:bookmarkEnd w:id="3"/>
    </w:p>
    <w:p w14:paraId="45480FEB"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bookmarkStart w:id="4" w:name="_Hlk93921712"/>
      <w:r w:rsidRPr="00B66889">
        <w:rPr>
          <w:rFonts w:ascii="Arial" w:eastAsia="Times New Roman" w:hAnsi="Arial" w:cs="Arial"/>
          <w:kern w:val="0"/>
          <w:lang w:eastAsia="cs-CZ"/>
          <w14:ligatures w14:val="none"/>
        </w:rPr>
        <w:t xml:space="preserve">Kontaktní místo se může na návrh kontaktního místa jiného členského státu s ním dohodnout, že na území </w:t>
      </w:r>
      <w:bookmarkStart w:id="5" w:name="_Hlk93919637"/>
      <w:r w:rsidRPr="00B66889">
        <w:rPr>
          <w:rFonts w:ascii="Arial" w:eastAsia="Times New Roman" w:hAnsi="Arial" w:cs="Arial"/>
          <w:kern w:val="0"/>
          <w:lang w:eastAsia="cs-CZ"/>
          <w14:ligatures w14:val="none"/>
        </w:rPr>
        <w:t xml:space="preserve">České republiky </w:t>
      </w:r>
      <w:bookmarkEnd w:id="5"/>
      <w:r w:rsidRPr="00B66889">
        <w:rPr>
          <w:rFonts w:ascii="Arial" w:eastAsia="Times New Roman" w:hAnsi="Arial" w:cs="Arial"/>
          <w:kern w:val="0"/>
          <w:lang w:eastAsia="cs-CZ"/>
          <w14:ligatures w14:val="none"/>
        </w:rPr>
        <w:t xml:space="preserve">provede správce daně daňovou kontrolu nebo místní šetření týkající se jednoho nebo více daňových subjektů, na splnění jejichž daňových povinností mají Česká republika a tento jiný členský stát společný nebo doplňující se zájem, a to koordinovaně a za účasti úřední osoby příslušného orgánu jiného členského státu. </w:t>
      </w:r>
    </w:p>
    <w:bookmarkEnd w:id="4"/>
    <w:p w14:paraId="78978A93"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Kontaktní místo do 60 dnů ode dne doručení návrhu na provedení společné daňové kontroly </w:t>
      </w:r>
      <w:proofErr w:type="gramStart"/>
      <w:r w:rsidRPr="00B66889">
        <w:rPr>
          <w:rFonts w:ascii="Arial" w:eastAsia="Times New Roman" w:hAnsi="Arial" w:cs="Arial"/>
          <w:kern w:val="0"/>
          <w:lang w:eastAsia="cs-CZ"/>
          <w14:ligatures w14:val="none"/>
        </w:rPr>
        <w:t>vyjádří</w:t>
      </w:r>
      <w:proofErr w:type="gramEnd"/>
      <w:r w:rsidRPr="00B66889">
        <w:rPr>
          <w:rFonts w:ascii="Arial" w:eastAsia="Times New Roman" w:hAnsi="Arial" w:cs="Arial"/>
          <w:kern w:val="0"/>
          <w:lang w:eastAsia="cs-CZ"/>
          <w14:ligatures w14:val="none"/>
        </w:rPr>
        <w:t xml:space="preserve"> s tímto návrhem souhlas nebo tento návrh odmítne a sdělí kontaktnímu místu jiného členského státu důvody tohoto odmítnutí.</w:t>
      </w:r>
    </w:p>
    <w:p w14:paraId="68AC324B"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V dohodě podle odstavce 1 se také </w:t>
      </w:r>
      <w:proofErr w:type="gramStart"/>
      <w:r w:rsidRPr="00B66889">
        <w:rPr>
          <w:rFonts w:ascii="Arial" w:eastAsia="Times New Roman" w:hAnsi="Arial" w:cs="Arial"/>
          <w:kern w:val="0"/>
          <w:lang w:eastAsia="cs-CZ"/>
          <w14:ligatures w14:val="none"/>
        </w:rPr>
        <w:t>určí</w:t>
      </w:r>
      <w:proofErr w:type="gramEnd"/>
      <w:r w:rsidRPr="00B66889">
        <w:rPr>
          <w:rFonts w:ascii="Arial" w:eastAsia="Times New Roman" w:hAnsi="Arial" w:cs="Arial"/>
          <w:kern w:val="0"/>
          <w:lang w:eastAsia="cs-CZ"/>
          <w14:ligatures w14:val="none"/>
        </w:rPr>
        <w:t xml:space="preserve"> jazykový režim, zejména jazyk používaný ke komunikaci mezi úředními osobami a organizační zajištění tlumočení do jednacího jazyka, rozdělení nákladů a případně také způsob zajištění účasti úředních osob jiného členského státu v řízení o opravném a dozorčím prostředku, řízení o jiném prostředku ochrany a soudním řízení vedených v souvislosti se společnou daňovou kontrolou.</w:t>
      </w:r>
    </w:p>
    <w:p w14:paraId="3112620E"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Kontaktní místo </w:t>
      </w:r>
      <w:proofErr w:type="gramStart"/>
      <w:r w:rsidRPr="00B66889">
        <w:rPr>
          <w:rFonts w:ascii="Arial" w:eastAsia="Times New Roman" w:hAnsi="Arial" w:cs="Arial"/>
          <w:kern w:val="0"/>
          <w:lang w:eastAsia="cs-CZ"/>
          <w14:ligatures w14:val="none"/>
        </w:rPr>
        <w:t>pověří</w:t>
      </w:r>
      <w:proofErr w:type="gramEnd"/>
      <w:r w:rsidRPr="00B66889">
        <w:rPr>
          <w:rFonts w:ascii="Arial" w:eastAsia="Times New Roman" w:hAnsi="Arial" w:cs="Arial"/>
          <w:kern w:val="0"/>
          <w:lang w:eastAsia="cs-CZ"/>
          <w14:ligatures w14:val="none"/>
        </w:rPr>
        <w:t xml:space="preserve"> úřední osobu dohledem nad provedením společné daňové kontroly a zajištěním její koordinace na území České republiky.</w:t>
      </w:r>
    </w:p>
    <w:p w14:paraId="294881C3"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Úřední osoba příslušného orgánu jiného členského státu se při daňové kontrole nebo místním šetření řídí právním řádem České republiky. V rozsahu provádění společné daňové kontroly má úřední osoba orgánu jiného členského státu právní postavení úřední osoby správce daně podle odstavce 1, může ale vykonávat jen takové </w:t>
      </w:r>
      <w:bookmarkStart w:id="6" w:name="_Hlk93921429"/>
      <w:r w:rsidRPr="00B66889">
        <w:rPr>
          <w:rFonts w:ascii="Arial" w:eastAsia="Times New Roman" w:hAnsi="Arial" w:cs="Arial"/>
          <w:kern w:val="0"/>
          <w:lang w:eastAsia="cs-CZ"/>
          <w14:ligatures w14:val="none"/>
        </w:rPr>
        <w:t>pravomoci, které jí zároveň přiznává právo jejího státu</w:t>
      </w:r>
      <w:bookmarkEnd w:id="6"/>
      <w:r w:rsidRPr="00B66889">
        <w:rPr>
          <w:rFonts w:ascii="Arial" w:eastAsia="Times New Roman" w:hAnsi="Arial" w:cs="Arial"/>
          <w:kern w:val="0"/>
          <w:lang w:eastAsia="cs-CZ"/>
          <w14:ligatures w14:val="none"/>
        </w:rPr>
        <w:t>. Na území České republiky se úřední osoba orgánu jiného členského státu prokazuje pověřením vydaným kontaktním místem. Na obsahové náležitosti pověření se použije § 18 odst. 5 obdobně.</w:t>
      </w:r>
    </w:p>
    <w:p w14:paraId="5DA6E50A" w14:textId="77777777" w:rsidR="00B66889" w:rsidRPr="00B66889" w:rsidRDefault="00B66889" w:rsidP="00B66889">
      <w:pPr>
        <w:keepNext/>
        <w:keepLines/>
        <w:spacing w:before="240" w:after="0" w:line="240" w:lineRule="auto"/>
        <w:jc w:val="center"/>
        <w:outlineLvl w:val="5"/>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19b</w:t>
      </w:r>
    </w:p>
    <w:p w14:paraId="66AD8A3F" w14:textId="77777777" w:rsidR="00B66889" w:rsidRPr="00B66889" w:rsidRDefault="00B66889" w:rsidP="00B66889">
      <w:pPr>
        <w:keepNext/>
        <w:keepLines/>
        <w:numPr>
          <w:ilvl w:val="0"/>
          <w:numId w:val="2"/>
        </w:numPr>
        <w:spacing w:before="240" w:after="0" w:line="240" w:lineRule="auto"/>
        <w:jc w:val="center"/>
        <w:outlineLvl w:val="5"/>
        <w:rPr>
          <w:rFonts w:ascii="Arial" w:eastAsia="Times New Roman" w:hAnsi="Arial" w:cs="Arial"/>
          <w:b/>
          <w:kern w:val="0"/>
          <w:lang w:eastAsia="cs-CZ"/>
          <w14:ligatures w14:val="none"/>
        </w:rPr>
      </w:pPr>
      <w:r w:rsidRPr="00B66889">
        <w:rPr>
          <w:rFonts w:ascii="Arial" w:eastAsia="Times New Roman" w:hAnsi="Arial" w:cs="Arial"/>
          <w:b/>
          <w:kern w:val="0"/>
          <w:lang w:eastAsia="cs-CZ"/>
          <w14:ligatures w14:val="none"/>
        </w:rPr>
        <w:t>Společná daňová kontrola v</w:t>
      </w:r>
      <w:bookmarkStart w:id="7" w:name="_Hlk93923497"/>
      <w:r w:rsidRPr="00B66889">
        <w:rPr>
          <w:rFonts w:ascii="Arial" w:eastAsia="Times New Roman" w:hAnsi="Arial" w:cs="Arial"/>
          <w:b/>
          <w:kern w:val="0"/>
          <w:lang w:eastAsia="cs-CZ"/>
          <w14:ligatures w14:val="none"/>
        </w:rPr>
        <w:t> jiném členském státě</w:t>
      </w:r>
      <w:bookmarkEnd w:id="7"/>
      <w:r w:rsidRPr="00B66889">
        <w:rPr>
          <w:rFonts w:ascii="Arial" w:eastAsia="Times New Roman" w:hAnsi="Arial" w:cs="Arial"/>
          <w:b/>
          <w:kern w:val="0"/>
          <w:lang w:eastAsia="cs-CZ"/>
          <w14:ligatures w14:val="none"/>
        </w:rPr>
        <w:t xml:space="preserve"> </w:t>
      </w:r>
    </w:p>
    <w:p w14:paraId="2A9D7605"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Kontaktní místo může kontaktnímu místu jiného členského státu navrhnout, že v dohodě s ním bude na území tohoto jiného členského státu provedena orgánem tohoto jiného členského státu daňová kontrola, místní šetření nebo obdobný postup týkající se jednoho nebo více daňových subjektů, na splnění jejichž daňových povinností mají Česká republika a tento jiný členský stát společný nebo doplňující se zájem, a to koordinovaně a za účasti úřední osoby správce daně. </w:t>
      </w:r>
    </w:p>
    <w:p w14:paraId="75C55D34" w14:textId="77777777" w:rsidR="00B66889" w:rsidRPr="00B66889"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t xml:space="preserve">Právní postavení </w:t>
      </w:r>
      <w:bookmarkStart w:id="8" w:name="_Hlk93923143"/>
      <w:r w:rsidRPr="00B66889">
        <w:rPr>
          <w:rFonts w:ascii="Arial" w:eastAsia="Times New Roman" w:hAnsi="Arial" w:cs="Arial"/>
          <w:kern w:val="0"/>
          <w:lang w:eastAsia="cs-CZ"/>
          <w14:ligatures w14:val="none"/>
        </w:rPr>
        <w:t>úřední osoby správce daně se v</w:t>
      </w:r>
      <w:bookmarkEnd w:id="8"/>
      <w:r w:rsidRPr="00B66889">
        <w:rPr>
          <w:rFonts w:ascii="Arial" w:eastAsia="Times New Roman" w:hAnsi="Arial" w:cs="Arial"/>
          <w:kern w:val="0"/>
          <w:lang w:eastAsia="cs-CZ"/>
          <w14:ligatures w14:val="none"/>
        </w:rPr>
        <w:t xml:space="preserve"> jiném členském státě řídí právním řádem tohoto jiného členského státu. Úřední osoba správce daně nesmí na území jiného členského státu vykonávat žádnou pravomoc, kterou jí zároveň nepřiznává </w:t>
      </w:r>
      <w:bookmarkStart w:id="9" w:name="_Hlk93923208"/>
      <w:r w:rsidRPr="00B66889">
        <w:rPr>
          <w:rFonts w:ascii="Arial" w:eastAsia="Times New Roman" w:hAnsi="Arial" w:cs="Arial"/>
          <w:kern w:val="0"/>
          <w:lang w:eastAsia="cs-CZ"/>
          <w14:ligatures w14:val="none"/>
        </w:rPr>
        <w:t>právní řád České republiky.</w:t>
      </w:r>
      <w:bookmarkEnd w:id="9"/>
    </w:p>
    <w:p w14:paraId="2F95875B" w14:textId="77777777" w:rsidR="00B66889" w:rsidRPr="00B66889" w:rsidRDefault="00B66889" w:rsidP="00B66889">
      <w:pPr>
        <w:keepNext/>
        <w:keepLines/>
        <w:spacing w:before="240" w:after="0" w:line="240" w:lineRule="auto"/>
        <w:jc w:val="center"/>
        <w:outlineLvl w:val="5"/>
        <w:rPr>
          <w:rFonts w:ascii="Arial" w:eastAsia="Times New Roman" w:hAnsi="Arial" w:cs="Arial"/>
          <w:kern w:val="0"/>
          <w:lang w:eastAsia="cs-CZ"/>
          <w14:ligatures w14:val="none"/>
        </w:rPr>
      </w:pPr>
      <w:r w:rsidRPr="00B66889">
        <w:rPr>
          <w:rFonts w:ascii="Arial" w:eastAsia="Times New Roman" w:hAnsi="Arial" w:cs="Arial"/>
          <w:kern w:val="0"/>
          <w:lang w:eastAsia="cs-CZ"/>
          <w14:ligatures w14:val="none"/>
        </w:rPr>
        <w:lastRenderedPageBreak/>
        <w:t>§ 19c</w:t>
      </w:r>
    </w:p>
    <w:p w14:paraId="16768474" w14:textId="77777777" w:rsidR="00B66889" w:rsidRPr="00B66889" w:rsidRDefault="00B66889" w:rsidP="00B66889">
      <w:pPr>
        <w:keepNext/>
        <w:keepLines/>
        <w:numPr>
          <w:ilvl w:val="0"/>
          <w:numId w:val="2"/>
        </w:numPr>
        <w:spacing w:before="240" w:after="0" w:line="240" w:lineRule="auto"/>
        <w:jc w:val="center"/>
        <w:outlineLvl w:val="5"/>
        <w:rPr>
          <w:rFonts w:ascii="Arial" w:eastAsia="Times New Roman" w:hAnsi="Arial" w:cs="Arial"/>
          <w:b/>
          <w:kern w:val="0"/>
          <w:lang w:eastAsia="cs-CZ"/>
          <w14:ligatures w14:val="none"/>
        </w:rPr>
      </w:pPr>
      <w:r w:rsidRPr="00B66889">
        <w:rPr>
          <w:rFonts w:ascii="Arial" w:eastAsia="Times New Roman" w:hAnsi="Arial" w:cs="Arial"/>
          <w:b/>
          <w:kern w:val="0"/>
          <w:lang w:eastAsia="cs-CZ"/>
          <w14:ligatures w14:val="none"/>
        </w:rPr>
        <w:t>Závěr společné daňové kontroly</w:t>
      </w:r>
    </w:p>
    <w:p w14:paraId="5BC41A2D" w14:textId="77777777" w:rsidR="00B66889" w:rsidRPr="001B4231"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1B4231">
        <w:rPr>
          <w:rFonts w:ascii="Arial" w:eastAsia="Times New Roman" w:hAnsi="Arial" w:cs="Arial"/>
          <w:kern w:val="0"/>
          <w:lang w:eastAsia="cs-CZ"/>
          <w14:ligatures w14:val="none"/>
        </w:rPr>
        <w:t xml:space="preserve">Kontaktní místo se s kontaktním místem jiného členského státu pokusí na základě dosavadního průběhu společné daňové kontroly dosáhnout dohody o vyhodnocení této kontroly. Výsledek tohoto postupu je součástí závěru společné daňové kontroly. </w:t>
      </w:r>
    </w:p>
    <w:p w14:paraId="0D2D077E" w14:textId="77777777" w:rsidR="00B66889" w:rsidRPr="001B4231"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1B4231">
        <w:rPr>
          <w:rFonts w:ascii="Arial" w:eastAsia="Times New Roman" w:hAnsi="Arial" w:cs="Arial"/>
          <w:kern w:val="0"/>
          <w:lang w:eastAsia="cs-CZ"/>
          <w14:ligatures w14:val="none"/>
        </w:rPr>
        <w:t>Závěr společné daňové kontroly se oznámí daňovému subjektu do 60 dnů ode dne jeho vyhotovení.</w:t>
      </w:r>
    </w:p>
    <w:p w14:paraId="138529C5" w14:textId="77777777" w:rsidR="00B66889" w:rsidRPr="001B4231" w:rsidRDefault="00B66889" w:rsidP="00B66889">
      <w:pPr>
        <w:numPr>
          <w:ilvl w:val="2"/>
          <w:numId w:val="2"/>
        </w:numPr>
        <w:tabs>
          <w:tab w:val="left" w:pos="851"/>
        </w:tabs>
        <w:spacing w:before="120" w:after="120" w:line="240" w:lineRule="auto"/>
        <w:jc w:val="both"/>
        <w:outlineLvl w:val="6"/>
        <w:rPr>
          <w:rFonts w:ascii="Arial" w:eastAsia="Times New Roman" w:hAnsi="Arial" w:cs="Arial"/>
          <w:kern w:val="0"/>
          <w:lang w:eastAsia="cs-CZ"/>
          <w14:ligatures w14:val="none"/>
        </w:rPr>
      </w:pPr>
      <w:r w:rsidRPr="001B4231">
        <w:rPr>
          <w:rFonts w:ascii="Arial" w:eastAsia="Times New Roman" w:hAnsi="Arial" w:cs="Arial"/>
          <w:kern w:val="0"/>
          <w:lang w:eastAsia="cs-CZ"/>
          <w14:ligatures w14:val="none"/>
        </w:rPr>
        <w:t>Umožňuje-li to stav daňového řízení nebo dohodovacího postupu při řešení sporné otázky v rámci harmonizovaného postupu nebo podle mezinárodní smlouvy, správce daně zohlední údaje uvedené v závěru společné daňové kontroly v rámci daňové kontroly nebo dalšího průběhu tohoto řízení nebo dohodovacího postupu. Správce daně při tom není závěrem společné daňové kontroly vázán. Správce daně uvede důvody odchýlení se od závěru společné daňové kontroly ve zprávě o daňové kontrole nebo v rozhodnutí o stanovení daně.“.</w:t>
      </w:r>
      <w:r w:rsidRPr="001B4231" w:rsidDel="00D47C29">
        <w:rPr>
          <w:rFonts w:ascii="Arial" w:eastAsia="Times New Roman" w:hAnsi="Arial" w:cs="Arial"/>
          <w:kern w:val="0"/>
          <w:lang w:eastAsia="cs-CZ"/>
          <w14:ligatures w14:val="none"/>
        </w:rPr>
        <w:t xml:space="preserve"> </w:t>
      </w:r>
    </w:p>
    <w:p w14:paraId="76A0187F" w14:textId="77777777" w:rsidR="00B66889" w:rsidRPr="00B66889" w:rsidRDefault="00B66889" w:rsidP="00B66889">
      <w:pPr>
        <w:numPr>
          <w:ilvl w:val="0"/>
          <w:numId w:val="2"/>
        </w:numPr>
        <w:spacing w:before="60" w:after="0" w:line="240" w:lineRule="auto"/>
        <w:jc w:val="both"/>
        <w:rPr>
          <w:rFonts w:ascii="Arial" w:eastAsia="Times New Roman" w:hAnsi="Arial" w:cs="Arial"/>
          <w:i/>
          <w:kern w:val="0"/>
          <w:lang w:eastAsia="cs-CZ"/>
          <w14:ligatures w14:val="none"/>
        </w:rPr>
      </w:pPr>
      <w:r w:rsidRPr="00B66889">
        <w:rPr>
          <w:rFonts w:ascii="Arial" w:eastAsia="Times New Roman" w:hAnsi="Arial" w:cs="Arial"/>
          <w:i/>
          <w:kern w:val="0"/>
          <w:lang w:eastAsia="cs-CZ"/>
          <w14:ligatures w14:val="none"/>
        </w:rPr>
        <w:t>CELEX: 32021L0514, 32011L0016</w:t>
      </w:r>
    </w:p>
    <w:p w14:paraId="29E84EDA" w14:textId="77777777" w:rsidR="00B66889" w:rsidRDefault="00B66889" w:rsidP="00B66889">
      <w:pPr>
        <w:pStyle w:val="Novelizanbod"/>
        <w:numPr>
          <w:ilvl w:val="0"/>
          <w:numId w:val="0"/>
        </w:numPr>
        <w:ind w:left="567"/>
        <w:rPr>
          <w:rFonts w:ascii="Arial" w:hAnsi="Arial" w:cs="Arial"/>
          <w:sz w:val="22"/>
          <w:szCs w:val="22"/>
          <w:u w:val="single"/>
        </w:rPr>
      </w:pPr>
    </w:p>
    <w:sectPr w:rsidR="00B66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BD0"/>
    <w:multiLevelType w:val="singleLevel"/>
    <w:tmpl w:val="F21A6504"/>
    <w:lvl w:ilvl="0">
      <w:start w:val="1"/>
      <w:numFmt w:val="decimal"/>
      <w:pStyle w:val="Novelizanbod"/>
      <w:lvlText w:val="%1."/>
      <w:lvlJc w:val="left"/>
      <w:pPr>
        <w:tabs>
          <w:tab w:val="num" w:pos="567"/>
        </w:tabs>
        <w:ind w:left="567" w:hanging="567"/>
      </w:pPr>
      <w:rPr>
        <w:rFonts w:hint="default"/>
        <w:b/>
        <w:i w:val="0"/>
      </w:rPr>
    </w:lvl>
  </w:abstractNum>
  <w:abstractNum w:abstractNumId="1" w15:restartNumberingAfterBreak="0">
    <w:nsid w:val="26E85E83"/>
    <w:multiLevelType w:val="multilevel"/>
    <w:tmpl w:val="0F30E30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color w:val="auto"/>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 w15:restartNumberingAfterBreak="0">
    <w:nsid w:val="591667E7"/>
    <w:multiLevelType w:val="hybridMultilevel"/>
    <w:tmpl w:val="E6C83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87647760">
      <w:numFmt w:val="bullet"/>
      <w:lvlText w:val="•"/>
      <w:lvlJc w:val="left"/>
      <w:pPr>
        <w:ind w:left="3585" w:hanging="705"/>
      </w:pPr>
      <w:rPr>
        <w:rFonts w:ascii="Times New Roman" w:eastAsia="Times New Roman" w:hAnsi="Times New Roman" w:cs="Times New Roman"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CE416E"/>
    <w:multiLevelType w:val="hybridMultilevel"/>
    <w:tmpl w:val="9B8A91B0"/>
    <w:lvl w:ilvl="0" w:tplc="4CBE6292">
      <w:start w:val="3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1FB70A6"/>
    <w:multiLevelType w:val="hybridMultilevel"/>
    <w:tmpl w:val="F3304036"/>
    <w:lvl w:ilvl="0" w:tplc="BFF6BF42">
      <w:start w:val="1"/>
      <w:numFmt w:val="decimal"/>
      <w:pStyle w:val="Dvodovzprvakbodu"/>
      <w:suff w:val="space"/>
      <w:lvlText w:val="K bodu %1"/>
      <w:lvlJc w:val="left"/>
      <w:pPr>
        <w:ind w:left="0" w:firstLine="0"/>
      </w:pPr>
      <w:rPr>
        <w:rFonts w:ascii="Times New Roman" w:hAnsi="Times New Roman" w:cs="Times New Roman"/>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6B3332"/>
    <w:multiLevelType w:val="hybridMultilevel"/>
    <w:tmpl w:val="E9B2EE3C"/>
    <w:lvl w:ilvl="0" w:tplc="889410CE">
      <w:start w:val="37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7605905">
    <w:abstractNumId w:val="0"/>
  </w:num>
  <w:num w:numId="2" w16cid:durableId="1843467220">
    <w:abstractNumId w:val="1"/>
  </w:num>
  <w:num w:numId="3" w16cid:durableId="1363827077">
    <w:abstractNumId w:val="2"/>
  </w:num>
  <w:num w:numId="4" w16cid:durableId="1018700762">
    <w:abstractNumId w:val="4"/>
  </w:num>
  <w:num w:numId="5" w16cid:durableId="1951281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37"/>
    </w:lvlOverride>
  </w:num>
  <w:num w:numId="6" w16cid:durableId="1685010111">
    <w:abstractNumId w:val="5"/>
  </w:num>
  <w:num w:numId="7" w16cid:durableId="180292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4"/>
    <w:rsid w:val="001B4231"/>
    <w:rsid w:val="00212461"/>
    <w:rsid w:val="00376FC4"/>
    <w:rsid w:val="00523CD4"/>
    <w:rsid w:val="0075298A"/>
    <w:rsid w:val="00885E3D"/>
    <w:rsid w:val="00B66889"/>
    <w:rsid w:val="00BF3F94"/>
    <w:rsid w:val="00EB6CC9"/>
    <w:rsid w:val="00F55CC4"/>
    <w:rsid w:val="00F6669D"/>
    <w:rsid w:val="00F75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4E7"/>
  <w15:chartTrackingRefBased/>
  <w15:docId w15:val="{BDD7E998-5B40-402B-B393-1C8EFB9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212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212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uiPriority w:val="9"/>
    <w:unhideWhenUsed/>
    <w:qFormat/>
    <w:rsid w:val="00523CD4"/>
    <w:pPr>
      <w:keepNext/>
      <w:keepLines/>
      <w:numPr>
        <w:ilvl w:val="6"/>
        <w:numId w:val="2"/>
      </w:numPr>
      <w:spacing w:before="40" w:after="0" w:line="240" w:lineRule="auto"/>
      <w:jc w:val="both"/>
      <w:outlineLvl w:val="6"/>
    </w:pPr>
    <w:rPr>
      <w:rFonts w:asciiTheme="majorHAnsi" w:eastAsiaTheme="majorEastAsia" w:hAnsiTheme="majorHAnsi" w:cstheme="majorBidi"/>
      <w:i/>
      <w:iCs/>
      <w:color w:val="1F3763" w:themeColor="accent1" w:themeShade="7F"/>
      <w:kern w:val="0"/>
      <w:sz w:val="24"/>
      <w:szCs w:val="20"/>
      <w:lang w:eastAsia="cs-CZ"/>
      <w14:ligatures w14:val="none"/>
    </w:rPr>
  </w:style>
  <w:style w:type="paragraph" w:styleId="Nadpis8">
    <w:name w:val="heading 8"/>
    <w:basedOn w:val="Normln"/>
    <w:next w:val="Normln"/>
    <w:link w:val="Nadpis8Char"/>
    <w:uiPriority w:val="9"/>
    <w:unhideWhenUsed/>
    <w:qFormat/>
    <w:rsid w:val="00523CD4"/>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kern w:val="0"/>
      <w:sz w:val="21"/>
      <w:szCs w:val="21"/>
      <w:lang w:eastAsia="cs-CZ"/>
      <w14:ligatures w14:val="none"/>
    </w:rPr>
  </w:style>
  <w:style w:type="paragraph" w:styleId="Nadpis9">
    <w:name w:val="heading 9"/>
    <w:basedOn w:val="Normln"/>
    <w:next w:val="Normln"/>
    <w:link w:val="Nadpis9Char"/>
    <w:uiPriority w:val="9"/>
    <w:unhideWhenUsed/>
    <w:qFormat/>
    <w:rsid w:val="00523CD4"/>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kern w:val="0"/>
      <w:sz w:val="21"/>
      <w:szCs w:val="21"/>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523CD4"/>
    <w:rPr>
      <w:rFonts w:asciiTheme="majorHAnsi" w:eastAsiaTheme="majorEastAsia" w:hAnsiTheme="majorHAnsi" w:cstheme="majorBidi"/>
      <w:i/>
      <w:iCs/>
      <w:color w:val="1F3763" w:themeColor="accent1" w:themeShade="7F"/>
      <w:kern w:val="0"/>
      <w:sz w:val="24"/>
      <w:szCs w:val="20"/>
      <w:lang w:eastAsia="cs-CZ"/>
      <w14:ligatures w14:val="none"/>
    </w:rPr>
  </w:style>
  <w:style w:type="character" w:customStyle="1" w:styleId="Nadpis8Char">
    <w:name w:val="Nadpis 8 Char"/>
    <w:basedOn w:val="Standardnpsmoodstavce"/>
    <w:link w:val="Nadpis8"/>
    <w:uiPriority w:val="9"/>
    <w:semiHidden/>
    <w:rsid w:val="00523CD4"/>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523CD4"/>
    <w:rPr>
      <w:rFonts w:asciiTheme="majorHAnsi" w:eastAsiaTheme="majorEastAsia" w:hAnsiTheme="majorHAnsi" w:cstheme="majorBidi"/>
      <w:i/>
      <w:iCs/>
      <w:color w:val="272727" w:themeColor="text1" w:themeTint="D8"/>
      <w:kern w:val="0"/>
      <w:sz w:val="21"/>
      <w:szCs w:val="21"/>
      <w:lang w:eastAsia="cs-CZ"/>
      <w14:ligatures w14:val="none"/>
    </w:rPr>
  </w:style>
  <w:style w:type="paragraph" w:customStyle="1" w:styleId="Textparagrafu">
    <w:name w:val="Text paragrafu"/>
    <w:basedOn w:val="Normln"/>
    <w:rsid w:val="00523CD4"/>
    <w:pPr>
      <w:spacing w:before="240" w:after="0" w:line="240" w:lineRule="auto"/>
      <w:ind w:firstLine="425"/>
      <w:jc w:val="both"/>
      <w:outlineLvl w:val="5"/>
    </w:pPr>
    <w:rPr>
      <w:rFonts w:ascii="Times New Roman" w:eastAsia="Times New Roman" w:hAnsi="Times New Roman" w:cs="Times New Roman"/>
      <w:kern w:val="0"/>
      <w:sz w:val="24"/>
      <w:szCs w:val="20"/>
      <w:lang w:eastAsia="cs-CZ"/>
      <w14:ligatures w14:val="none"/>
    </w:rPr>
  </w:style>
  <w:style w:type="paragraph" w:customStyle="1" w:styleId="Paragraf">
    <w:name w:val="Paragraf"/>
    <w:basedOn w:val="Normln"/>
    <w:next w:val="Textodstavce"/>
    <w:rsid w:val="00523CD4"/>
    <w:pPr>
      <w:keepNext/>
      <w:keepLines/>
      <w:numPr>
        <w:numId w:val="2"/>
      </w:numPr>
      <w:spacing w:before="240" w:after="0" w:line="240" w:lineRule="auto"/>
      <w:jc w:val="center"/>
      <w:outlineLvl w:val="5"/>
    </w:pPr>
    <w:rPr>
      <w:rFonts w:ascii="Times New Roman" w:eastAsia="Times New Roman" w:hAnsi="Times New Roman" w:cs="Times New Roman"/>
      <w:kern w:val="0"/>
      <w:sz w:val="24"/>
      <w:szCs w:val="20"/>
      <w:lang w:eastAsia="cs-CZ"/>
      <w14:ligatures w14:val="none"/>
    </w:rPr>
  </w:style>
  <w:style w:type="paragraph" w:customStyle="1" w:styleId="lnek">
    <w:name w:val="Článek"/>
    <w:basedOn w:val="Normln"/>
    <w:next w:val="Textodstavce"/>
    <w:rsid w:val="00523CD4"/>
    <w:pPr>
      <w:keepNext/>
      <w:keepLines/>
      <w:numPr>
        <w:ilvl w:val="1"/>
        <w:numId w:val="2"/>
      </w:numPr>
      <w:spacing w:before="240" w:after="0" w:line="240" w:lineRule="auto"/>
      <w:jc w:val="center"/>
      <w:outlineLvl w:val="5"/>
    </w:pPr>
    <w:rPr>
      <w:rFonts w:ascii="Times New Roman" w:eastAsia="Times New Roman" w:hAnsi="Times New Roman" w:cs="Times New Roman"/>
      <w:kern w:val="0"/>
      <w:sz w:val="24"/>
      <w:szCs w:val="20"/>
      <w:lang w:eastAsia="cs-CZ"/>
      <w14:ligatures w14:val="none"/>
    </w:rPr>
  </w:style>
  <w:style w:type="paragraph" w:customStyle="1" w:styleId="CELEX">
    <w:name w:val="CELEX"/>
    <w:basedOn w:val="Normln"/>
    <w:next w:val="Normln"/>
    <w:rsid w:val="00523CD4"/>
    <w:pPr>
      <w:spacing w:before="60" w:after="0" w:line="240" w:lineRule="auto"/>
      <w:jc w:val="both"/>
    </w:pPr>
    <w:rPr>
      <w:rFonts w:ascii="Times New Roman" w:eastAsia="Times New Roman" w:hAnsi="Times New Roman" w:cs="Times New Roman"/>
      <w:i/>
      <w:kern w:val="0"/>
      <w:sz w:val="20"/>
      <w:szCs w:val="20"/>
      <w:lang w:eastAsia="cs-CZ"/>
      <w14:ligatures w14:val="none"/>
    </w:rPr>
  </w:style>
  <w:style w:type="paragraph" w:customStyle="1" w:styleId="Novelizanbod">
    <w:name w:val="Novelizační bod"/>
    <w:basedOn w:val="Normln"/>
    <w:next w:val="Normln"/>
    <w:qFormat/>
    <w:rsid w:val="00523CD4"/>
    <w:pPr>
      <w:keepNext/>
      <w:keepLines/>
      <w:numPr>
        <w:numId w:val="1"/>
      </w:numPr>
      <w:tabs>
        <w:tab w:val="left" w:pos="851"/>
      </w:tabs>
      <w:spacing w:before="480"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Textbodu">
    <w:name w:val="Text bodu"/>
    <w:basedOn w:val="Normln"/>
    <w:rsid w:val="00523CD4"/>
    <w:pPr>
      <w:numPr>
        <w:ilvl w:val="4"/>
        <w:numId w:val="2"/>
      </w:numPr>
      <w:spacing w:after="0" w:line="240" w:lineRule="auto"/>
      <w:jc w:val="both"/>
      <w:outlineLvl w:val="8"/>
    </w:pPr>
    <w:rPr>
      <w:rFonts w:ascii="Times New Roman" w:eastAsia="Times New Roman" w:hAnsi="Times New Roman" w:cs="Times New Roman"/>
      <w:kern w:val="0"/>
      <w:sz w:val="24"/>
      <w:szCs w:val="20"/>
      <w:lang w:eastAsia="cs-CZ"/>
      <w14:ligatures w14:val="none"/>
    </w:rPr>
  </w:style>
  <w:style w:type="paragraph" w:customStyle="1" w:styleId="Textpsmene">
    <w:name w:val="Text písmene"/>
    <w:basedOn w:val="Normln"/>
    <w:rsid w:val="00523CD4"/>
    <w:pPr>
      <w:numPr>
        <w:ilvl w:val="3"/>
        <w:numId w:val="2"/>
      </w:numPr>
      <w:spacing w:after="0" w:line="240" w:lineRule="auto"/>
      <w:jc w:val="both"/>
      <w:outlineLvl w:val="7"/>
    </w:pPr>
    <w:rPr>
      <w:rFonts w:ascii="Times New Roman" w:eastAsia="Times New Roman" w:hAnsi="Times New Roman" w:cs="Times New Roman"/>
      <w:kern w:val="0"/>
      <w:sz w:val="24"/>
      <w:szCs w:val="20"/>
      <w:lang w:eastAsia="cs-CZ"/>
      <w14:ligatures w14:val="none"/>
    </w:rPr>
  </w:style>
  <w:style w:type="paragraph" w:customStyle="1" w:styleId="Textodstavce">
    <w:name w:val="Text odstavce"/>
    <w:basedOn w:val="Normln"/>
    <w:rsid w:val="00523CD4"/>
    <w:pPr>
      <w:numPr>
        <w:ilvl w:val="2"/>
        <w:numId w:val="2"/>
      </w:numPr>
      <w:tabs>
        <w:tab w:val="left" w:pos="851"/>
      </w:tabs>
      <w:spacing w:before="120" w:after="120" w:line="240" w:lineRule="auto"/>
      <w:jc w:val="both"/>
      <w:outlineLvl w:val="6"/>
    </w:pPr>
    <w:rPr>
      <w:rFonts w:ascii="Times New Roman" w:eastAsia="Times New Roman" w:hAnsi="Times New Roman" w:cs="Times New Roman"/>
      <w:kern w:val="0"/>
      <w:sz w:val="24"/>
      <w:szCs w:val="20"/>
      <w:lang w:eastAsia="cs-CZ"/>
      <w14:ligatures w14:val="none"/>
    </w:rPr>
  </w:style>
  <w:style w:type="paragraph" w:customStyle="1" w:styleId="Nadpisparagrafu">
    <w:name w:val="Nadpis paragrafu"/>
    <w:basedOn w:val="Paragraf"/>
    <w:next w:val="Textodstavce"/>
    <w:rsid w:val="00523CD4"/>
    <w:pPr>
      <w:numPr>
        <w:numId w:val="0"/>
      </w:numPr>
    </w:pPr>
    <w:rPr>
      <w:b/>
    </w:rPr>
  </w:style>
  <w:style w:type="character" w:customStyle="1" w:styleId="Nadpis2Char">
    <w:name w:val="Nadpis 2 Char"/>
    <w:basedOn w:val="Standardnpsmoodstavce"/>
    <w:link w:val="Nadpis2"/>
    <w:uiPriority w:val="9"/>
    <w:semiHidden/>
    <w:rsid w:val="0021246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212461"/>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link w:val="OdstavecseseznamemChar"/>
    <w:uiPriority w:val="34"/>
    <w:qFormat/>
    <w:rsid w:val="00212461"/>
    <w:pPr>
      <w:spacing w:after="120" w:line="240" w:lineRule="auto"/>
      <w:ind w:left="720"/>
      <w:contextualSpacing/>
      <w:jc w:val="both"/>
    </w:pPr>
    <w:rPr>
      <w:rFonts w:ascii="Times New Roman" w:eastAsia="Times New Roman" w:hAnsi="Times New Roman" w:cs="Times New Roman"/>
      <w:kern w:val="0"/>
      <w:sz w:val="24"/>
      <w:szCs w:val="20"/>
      <w:lang w:eastAsia="cs-CZ"/>
      <w14:ligatures w14:val="none"/>
    </w:rPr>
  </w:style>
  <w:style w:type="character" w:customStyle="1" w:styleId="OdstavecseseznamemChar">
    <w:name w:val="Odstavec se seznamem Char"/>
    <w:link w:val="Odstavecseseznamem"/>
    <w:uiPriority w:val="34"/>
    <w:locked/>
    <w:rsid w:val="00212461"/>
    <w:rPr>
      <w:rFonts w:ascii="Times New Roman" w:eastAsia="Times New Roman" w:hAnsi="Times New Roman" w:cs="Times New Roman"/>
      <w:kern w:val="0"/>
      <w:sz w:val="24"/>
      <w:szCs w:val="20"/>
      <w:lang w:eastAsia="cs-CZ"/>
      <w14:ligatures w14:val="none"/>
    </w:rPr>
  </w:style>
  <w:style w:type="paragraph" w:customStyle="1" w:styleId="Dvodovzprva">
    <w:name w:val="Důvodová zpráva"/>
    <w:basedOn w:val="Normln"/>
    <w:link w:val="DvodovzprvaChar"/>
    <w:uiPriority w:val="99"/>
    <w:qFormat/>
    <w:rsid w:val="00212461"/>
    <w:pPr>
      <w:spacing w:before="120" w:after="120" w:line="240" w:lineRule="auto"/>
      <w:jc w:val="both"/>
      <w:outlineLvl w:val="0"/>
    </w:pPr>
    <w:rPr>
      <w:rFonts w:ascii="Times New Roman" w:eastAsia="Times New Roman" w:hAnsi="Times New Roman" w:cs="Times New Roman"/>
      <w:kern w:val="0"/>
      <w:sz w:val="24"/>
      <w:szCs w:val="20"/>
      <w:lang w:eastAsia="cs-CZ"/>
      <w14:ligatures w14:val="none"/>
    </w:rPr>
  </w:style>
  <w:style w:type="paragraph" w:customStyle="1" w:styleId="Dvodovzprvakbodu">
    <w:name w:val="Důvodová zpráva (k bodu)"/>
    <w:basedOn w:val="Dvodovzprva"/>
    <w:next w:val="Dvodovzprva"/>
    <w:qFormat/>
    <w:rsid w:val="00212461"/>
    <w:pPr>
      <w:keepNext/>
      <w:numPr>
        <w:numId w:val="4"/>
      </w:numPr>
    </w:pPr>
    <w:rPr>
      <w:rFonts w:cs="Arial"/>
      <w:b/>
    </w:rPr>
  </w:style>
  <w:style w:type="character" w:customStyle="1" w:styleId="DvodovzprvaChar">
    <w:name w:val="Důvodová zpráva Char"/>
    <w:link w:val="Dvodovzprva"/>
    <w:uiPriority w:val="99"/>
    <w:locked/>
    <w:rsid w:val="00212461"/>
    <w:rPr>
      <w:rFonts w:ascii="Times New Roman" w:eastAsia="Times New Roman" w:hAnsi="Times New Roman" w:cs="Times New Roman"/>
      <w:kern w:val="0"/>
      <w:sz w:val="24"/>
      <w:szCs w:val="20"/>
      <w:lang w:eastAsia="cs-CZ"/>
      <w14:ligatures w14:val="none"/>
    </w:rPr>
  </w:style>
  <w:style w:type="paragraph" w:customStyle="1" w:styleId="Dvodovzprvakparagrafu">
    <w:name w:val="Důvodová zpráva (k paragrafu)"/>
    <w:basedOn w:val="Dvodovzprva"/>
    <w:next w:val="Dvodovzprva"/>
    <w:qFormat/>
    <w:rsid w:val="00212461"/>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871</Words>
  <Characters>5145</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Roháček Michal Ing. (GFŘ)</dc:creator>
  <cp:keywords/>
  <dc:description/>
  <cp:lastModifiedBy>Roháček Michal Ing. (GFŘ)</cp:lastModifiedBy>
  <cp:revision>5</cp:revision>
  <dcterms:created xsi:type="dcterms:W3CDTF">2025-01-11T19:17:00Z</dcterms:created>
  <dcterms:modified xsi:type="dcterms:W3CDTF">2025-01-11T20:04:00Z</dcterms:modified>
</cp:coreProperties>
</file>