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E2" w:rsidRDefault="00641EE2" w:rsidP="00DA630E">
      <w:pPr>
        <w:pStyle w:val="Zkladnodstavec"/>
        <w:ind w:left="227" w:right="227"/>
        <w:jc w:val="center"/>
        <w:rPr>
          <w:rFonts w:ascii="Calibri" w:hAnsi="Calibri" w:cs="Calibri"/>
          <w:b/>
          <w:bCs/>
          <w:color w:val="9E0047"/>
          <w:sz w:val="40"/>
          <w:szCs w:val="40"/>
        </w:rPr>
      </w:pPr>
    </w:p>
    <w:p w:rsidR="00DA630E" w:rsidRDefault="007044BC" w:rsidP="00641EE2">
      <w:pPr>
        <w:pStyle w:val="Zkladnodstavec"/>
        <w:ind w:right="227"/>
        <w:jc w:val="center"/>
        <w:rPr>
          <w:rFonts w:ascii="Calibri" w:hAnsi="Calibri" w:cs="Calibri"/>
          <w:b/>
          <w:bCs/>
          <w:color w:val="9E0047"/>
          <w:sz w:val="40"/>
          <w:szCs w:val="40"/>
        </w:rPr>
      </w:pPr>
      <w:r>
        <w:rPr>
          <w:rFonts w:ascii="Calibri" w:hAnsi="Calibri" w:cs="Calibri"/>
          <w:b/>
          <w:bCs/>
          <w:color w:val="9E0047"/>
          <w:sz w:val="40"/>
          <w:szCs w:val="40"/>
        </w:rPr>
        <w:t>Finanční úřad pro Olomoucký kraj upozorňuje</w:t>
      </w:r>
      <w:r w:rsidR="0045246F">
        <w:rPr>
          <w:rFonts w:ascii="Calibri" w:hAnsi="Calibri" w:cs="Calibri"/>
          <w:b/>
          <w:bCs/>
          <w:color w:val="9E0047"/>
          <w:sz w:val="40"/>
          <w:szCs w:val="40"/>
        </w:rPr>
        <w:br/>
      </w:r>
      <w:r>
        <w:rPr>
          <w:rFonts w:ascii="Calibri" w:hAnsi="Calibri" w:cs="Calibri"/>
          <w:b/>
          <w:bCs/>
          <w:color w:val="9E0047"/>
          <w:sz w:val="40"/>
          <w:szCs w:val="40"/>
        </w:rPr>
        <w:t>na blížící se termín pro podání daňového přiznání k dani z nemovitých věcí na zdaňovací období</w:t>
      </w:r>
      <w:r w:rsidR="0045246F">
        <w:rPr>
          <w:rFonts w:ascii="Calibri" w:hAnsi="Calibri" w:cs="Calibri"/>
          <w:b/>
          <w:bCs/>
          <w:color w:val="9E0047"/>
          <w:sz w:val="40"/>
          <w:szCs w:val="40"/>
        </w:rPr>
        <w:br/>
      </w:r>
      <w:bookmarkStart w:id="0" w:name="_GoBack"/>
      <w:bookmarkEnd w:id="0"/>
      <w:r>
        <w:rPr>
          <w:rFonts w:ascii="Calibri" w:hAnsi="Calibri" w:cs="Calibri"/>
          <w:b/>
          <w:bCs/>
          <w:color w:val="9E0047"/>
          <w:sz w:val="40"/>
          <w:szCs w:val="40"/>
        </w:rPr>
        <w:t>roku 2021</w:t>
      </w:r>
    </w:p>
    <w:p w:rsidR="00DA630E" w:rsidRDefault="00DA630E" w:rsidP="00641EE2">
      <w:pPr>
        <w:pStyle w:val="Zkladnodstavec"/>
        <w:ind w:left="1418" w:right="227"/>
        <w:jc w:val="both"/>
        <w:rPr>
          <w:rFonts w:ascii="Calibri" w:hAnsi="Calibri" w:cs="Calibri"/>
          <w:b/>
          <w:bCs/>
          <w:smallCaps/>
          <w:color w:val="9E0047"/>
          <w:sz w:val="60"/>
          <w:szCs w:val="60"/>
        </w:rPr>
      </w:pPr>
    </w:p>
    <w:p w:rsidR="00DA630E" w:rsidRDefault="007044BC" w:rsidP="00641EE2">
      <w:pPr>
        <w:pStyle w:val="Zkladnodstavec"/>
        <w:ind w:right="227"/>
        <w:jc w:val="both"/>
        <w:rPr>
          <w:rFonts w:ascii="Calibri" w:hAnsi="Calibri" w:cs="Calibri"/>
          <w:b/>
          <w:bCs/>
          <w:smallCaps/>
          <w:color w:val="9E0047"/>
          <w:sz w:val="28"/>
          <w:szCs w:val="28"/>
        </w:rPr>
      </w:pPr>
      <w:r>
        <w:rPr>
          <w:rFonts w:ascii="Calibri" w:hAnsi="Calibri" w:cs="Calibri"/>
          <w:b/>
          <w:bCs/>
          <w:smallCaps/>
          <w:color w:val="9E0047"/>
          <w:sz w:val="28"/>
          <w:szCs w:val="28"/>
        </w:rPr>
        <w:t>termín</w:t>
      </w:r>
    </w:p>
    <w:p w:rsidR="007044BC" w:rsidRDefault="007044BC" w:rsidP="00641EE2">
      <w:pPr>
        <w:pStyle w:val="Zkladnodstavec"/>
        <w:ind w:right="227"/>
        <w:jc w:val="both"/>
        <w:rPr>
          <w:rFonts w:ascii="Calibri Light" w:hAnsi="Calibri Light" w:cs="Calibri Light"/>
          <w:sz w:val="26"/>
          <w:szCs w:val="26"/>
        </w:rPr>
      </w:pPr>
    </w:p>
    <w:p w:rsidR="00DA630E" w:rsidRDefault="007044BC" w:rsidP="00641EE2">
      <w:pPr>
        <w:pStyle w:val="Zkladnodstavec"/>
        <w:ind w:right="227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1. únor 2021</w:t>
      </w:r>
    </w:p>
    <w:p w:rsidR="00DA630E" w:rsidRDefault="00DA630E" w:rsidP="00641EE2">
      <w:pPr>
        <w:pStyle w:val="Zkladnodstavec"/>
        <w:ind w:right="227"/>
        <w:jc w:val="both"/>
        <w:rPr>
          <w:rFonts w:ascii="Calibri" w:hAnsi="Calibri" w:cs="Calibri"/>
          <w:b/>
          <w:bCs/>
          <w:color w:val="9E0047"/>
          <w:sz w:val="26"/>
          <w:szCs w:val="26"/>
        </w:rPr>
      </w:pPr>
    </w:p>
    <w:p w:rsidR="00DA630E" w:rsidRDefault="007044BC" w:rsidP="00641EE2">
      <w:pPr>
        <w:pStyle w:val="Zkladnodstavec"/>
        <w:ind w:right="227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" w:hAnsi="Calibri" w:cs="Calibri"/>
          <w:b/>
          <w:bCs/>
          <w:smallCaps/>
          <w:color w:val="9E0047"/>
          <w:sz w:val="28"/>
          <w:szCs w:val="28"/>
        </w:rPr>
        <w:t>kdo má povinnost podat</w:t>
      </w:r>
    </w:p>
    <w:p w:rsidR="00DA630E" w:rsidRDefault="00DA630E" w:rsidP="00641EE2">
      <w:pPr>
        <w:pStyle w:val="Zkladnodstavec"/>
        <w:ind w:right="227"/>
        <w:jc w:val="both"/>
        <w:rPr>
          <w:rFonts w:ascii="Calibri Light" w:hAnsi="Calibri Light" w:cs="Calibri Light"/>
          <w:sz w:val="26"/>
          <w:szCs w:val="26"/>
        </w:rPr>
      </w:pPr>
    </w:p>
    <w:p w:rsidR="00DA630E" w:rsidRDefault="007044BC" w:rsidP="00641EE2">
      <w:pPr>
        <w:pStyle w:val="Zkladnodstavec"/>
        <w:numPr>
          <w:ilvl w:val="0"/>
          <w:numId w:val="4"/>
        </w:numPr>
        <w:ind w:left="284" w:right="227"/>
        <w:jc w:val="both"/>
        <w:rPr>
          <w:rFonts w:ascii="Calibri Light" w:hAnsi="Calibri Light" w:cs="Calibri Light"/>
          <w:i/>
          <w:iCs/>
          <w:sz w:val="26"/>
          <w:szCs w:val="26"/>
        </w:rPr>
      </w:pPr>
      <w:r>
        <w:rPr>
          <w:rFonts w:ascii="Calibri Light" w:hAnsi="Calibri Light" w:cs="Calibri Light"/>
          <w:i/>
          <w:iCs/>
          <w:sz w:val="26"/>
          <w:szCs w:val="26"/>
        </w:rPr>
        <w:t>Poplatníci, kteří v roce 2020 nově nabyli do svého vlastnictví pozemek, zdanitelnou stavbu nebo zdanitelnou jednotku</w:t>
      </w:r>
    </w:p>
    <w:p w:rsidR="00DA630E" w:rsidRDefault="007044BC" w:rsidP="00641EE2">
      <w:pPr>
        <w:pStyle w:val="Zkladnodstavec"/>
        <w:numPr>
          <w:ilvl w:val="0"/>
          <w:numId w:val="4"/>
        </w:numPr>
        <w:ind w:left="284" w:right="227"/>
        <w:jc w:val="both"/>
        <w:rPr>
          <w:rFonts w:ascii="Calibri Light" w:hAnsi="Calibri Light" w:cs="Calibri Light"/>
          <w:i/>
          <w:iCs/>
          <w:sz w:val="26"/>
          <w:szCs w:val="26"/>
        </w:rPr>
      </w:pPr>
      <w:r>
        <w:rPr>
          <w:rFonts w:ascii="Calibri Light" w:hAnsi="Calibri Light" w:cs="Calibri Light"/>
          <w:i/>
          <w:iCs/>
          <w:sz w:val="26"/>
          <w:szCs w:val="26"/>
        </w:rPr>
        <w:t>Poplatníci, kteří na v minulosti přiznané zdanitelné stavbě provedli přístavbu, nástavbu nebo ji částečně zlikvidovali a na základě těchto změn došlo ke změně druhu nebo výměry pozemku</w:t>
      </w:r>
      <w:r w:rsidR="00DA630E">
        <w:rPr>
          <w:rFonts w:ascii="Calibri Light" w:hAnsi="Calibri Light" w:cs="Calibri Light"/>
          <w:i/>
          <w:iCs/>
          <w:sz w:val="26"/>
          <w:szCs w:val="26"/>
        </w:rPr>
        <w:t xml:space="preserve"> </w:t>
      </w:r>
    </w:p>
    <w:p w:rsidR="00DA630E" w:rsidRPr="007044BC" w:rsidRDefault="007044BC" w:rsidP="007044BC">
      <w:pPr>
        <w:pStyle w:val="Zkladnodstavec"/>
        <w:numPr>
          <w:ilvl w:val="0"/>
          <w:numId w:val="4"/>
        </w:numPr>
        <w:ind w:left="284" w:right="227"/>
        <w:jc w:val="both"/>
        <w:rPr>
          <w:rFonts w:ascii="Calibri" w:hAnsi="Calibri" w:cs="Calibri"/>
          <w:b/>
          <w:bCs/>
          <w:color w:val="9E0047"/>
          <w:sz w:val="26"/>
          <w:szCs w:val="26"/>
        </w:rPr>
      </w:pPr>
      <w:r>
        <w:rPr>
          <w:rFonts w:ascii="Calibri Light" w:hAnsi="Calibri Light" w:cs="Calibri Light"/>
          <w:i/>
          <w:iCs/>
          <w:sz w:val="26"/>
          <w:szCs w:val="26"/>
        </w:rPr>
        <w:t xml:space="preserve">Poplatníci vlastnící parcely u nichž došlo ke změně výměry na základě revize katastru nemovitostí </w:t>
      </w:r>
    </w:p>
    <w:p w:rsidR="007044BC" w:rsidRDefault="007044BC" w:rsidP="007044BC">
      <w:pPr>
        <w:pStyle w:val="Zkladnodstavec"/>
        <w:ind w:left="284" w:right="227"/>
        <w:jc w:val="both"/>
        <w:rPr>
          <w:rFonts w:ascii="Calibri" w:hAnsi="Calibri" w:cs="Calibri"/>
          <w:b/>
          <w:bCs/>
          <w:color w:val="9E0047"/>
          <w:sz w:val="26"/>
          <w:szCs w:val="26"/>
        </w:rPr>
      </w:pPr>
    </w:p>
    <w:p w:rsidR="00DA630E" w:rsidRDefault="007044BC" w:rsidP="00641EE2">
      <w:pPr>
        <w:pStyle w:val="Zkladnodstavec"/>
        <w:ind w:right="227"/>
        <w:jc w:val="both"/>
        <w:rPr>
          <w:rFonts w:ascii="Calibri" w:hAnsi="Calibri" w:cs="Calibri"/>
          <w:b/>
          <w:bCs/>
          <w:smallCaps/>
          <w:color w:val="9E0047"/>
          <w:sz w:val="28"/>
          <w:szCs w:val="28"/>
        </w:rPr>
      </w:pPr>
      <w:r>
        <w:rPr>
          <w:rFonts w:ascii="Calibri" w:hAnsi="Calibri" w:cs="Calibri"/>
          <w:b/>
          <w:bCs/>
          <w:smallCaps/>
          <w:color w:val="9E0047"/>
          <w:sz w:val="28"/>
          <w:szCs w:val="28"/>
        </w:rPr>
        <w:t>daň z nemovitých věcí nebyla zrušena</w:t>
      </w:r>
    </w:p>
    <w:p w:rsidR="0045246F" w:rsidRDefault="0045246F" w:rsidP="00641EE2">
      <w:pPr>
        <w:pStyle w:val="Zkladnodstavec"/>
        <w:ind w:right="227"/>
        <w:jc w:val="both"/>
        <w:rPr>
          <w:rFonts w:ascii="Calibri" w:hAnsi="Calibri" w:cs="Calibri"/>
          <w:b/>
          <w:bCs/>
          <w:smallCaps/>
          <w:sz w:val="26"/>
          <w:szCs w:val="26"/>
        </w:rPr>
      </w:pPr>
    </w:p>
    <w:p w:rsidR="00DA630E" w:rsidRDefault="0045246F" w:rsidP="00641EE2">
      <w:pPr>
        <w:pStyle w:val="Zkladnodstavec"/>
        <w:ind w:right="227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Zrušena byla daň z nabytí nemovitých věcí, nikoliv daň z nemovitých věcí. </w:t>
      </w:r>
    </w:p>
    <w:p w:rsidR="00DA630E" w:rsidRDefault="00DA630E" w:rsidP="00641EE2">
      <w:pPr>
        <w:pStyle w:val="Zkladnodstavec"/>
        <w:tabs>
          <w:tab w:val="left" w:pos="284"/>
        </w:tabs>
        <w:ind w:right="227"/>
        <w:jc w:val="both"/>
        <w:rPr>
          <w:rFonts w:ascii="Calibri" w:hAnsi="Calibri" w:cs="Calibri"/>
          <w:b/>
          <w:bCs/>
          <w:color w:val="9E0047"/>
          <w:sz w:val="26"/>
          <w:szCs w:val="26"/>
        </w:rPr>
      </w:pPr>
    </w:p>
    <w:p w:rsidR="00DA630E" w:rsidRDefault="0045246F" w:rsidP="00641EE2">
      <w:pPr>
        <w:pStyle w:val="Zkladnodstavec"/>
        <w:ind w:right="227"/>
        <w:jc w:val="both"/>
        <w:rPr>
          <w:rFonts w:ascii="Calibri" w:hAnsi="Calibri" w:cs="Calibri"/>
          <w:b/>
          <w:bCs/>
          <w:smallCaps/>
          <w:color w:val="9E0047"/>
          <w:sz w:val="28"/>
          <w:szCs w:val="28"/>
        </w:rPr>
      </w:pPr>
      <w:r>
        <w:rPr>
          <w:rFonts w:ascii="Calibri" w:hAnsi="Calibri" w:cs="Calibri"/>
          <w:b/>
          <w:bCs/>
          <w:smallCaps/>
          <w:color w:val="9E0047"/>
          <w:sz w:val="28"/>
          <w:szCs w:val="28"/>
        </w:rPr>
        <w:t>informace k podání přiznání</w:t>
      </w:r>
    </w:p>
    <w:p w:rsidR="0045246F" w:rsidRDefault="0045246F" w:rsidP="00641EE2">
      <w:pPr>
        <w:pStyle w:val="Zkladnodstavec"/>
        <w:ind w:right="227"/>
        <w:jc w:val="both"/>
        <w:rPr>
          <w:rFonts w:ascii="Calibri Light" w:hAnsi="Calibri Light" w:cs="Calibri Light"/>
          <w:sz w:val="26"/>
          <w:szCs w:val="26"/>
        </w:rPr>
      </w:pPr>
    </w:p>
    <w:p w:rsidR="00BB3E46" w:rsidRDefault="0045246F" w:rsidP="00641EE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Veškeré informace naleznete na </w:t>
      </w:r>
      <w:hyperlink r:id="rId8" w:history="1">
        <w:r w:rsidRPr="00EF1600">
          <w:rPr>
            <w:rStyle w:val="Hypertextovodkaz"/>
            <w:rFonts w:ascii="Calibri Light" w:hAnsi="Calibri Light" w:cs="Calibri Light"/>
            <w:sz w:val="26"/>
            <w:szCs w:val="26"/>
          </w:rPr>
          <w:t>www.financnisprava.cz</w:t>
        </w:r>
      </w:hyperlink>
    </w:p>
    <w:p w:rsidR="0045246F" w:rsidRDefault="0045246F" w:rsidP="00641EE2">
      <w:pPr>
        <w:autoSpaceDE w:val="0"/>
        <w:autoSpaceDN w:val="0"/>
        <w:adjustRightInd w:val="0"/>
        <w:spacing w:after="0"/>
        <w:jc w:val="both"/>
        <w:rPr>
          <w:iCs/>
        </w:rPr>
      </w:pPr>
      <w:r>
        <w:rPr>
          <w:rFonts w:ascii="Calibri Light" w:hAnsi="Calibri Light" w:cs="Calibri Light"/>
          <w:sz w:val="26"/>
          <w:szCs w:val="26"/>
        </w:rPr>
        <w:t xml:space="preserve">V případě dotazů doporučujeme kontaktovat příslušné územní pracoviště. </w:t>
      </w:r>
    </w:p>
    <w:sectPr w:rsidR="0045246F" w:rsidSect="00923D62">
      <w:headerReference w:type="default" r:id="rId9"/>
      <w:footerReference w:type="default" r:id="rId10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8F1" w:rsidRDefault="00E478F1" w:rsidP="00A44ED9">
      <w:pPr>
        <w:spacing w:after="0" w:line="240" w:lineRule="auto"/>
      </w:pPr>
      <w:r>
        <w:separator/>
      </w:r>
    </w:p>
  </w:endnote>
  <w:endnote w:type="continuationSeparator" w:id="0">
    <w:p w:rsidR="00E478F1" w:rsidRDefault="00E478F1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ED" w:rsidRDefault="007911ED" w:rsidP="007911ED">
    <w:pPr>
      <w:pStyle w:val="Zpat"/>
      <w:jc w:val="center"/>
    </w:pPr>
    <w:r>
      <w:ptab w:relativeTo="margin" w:alignment="center" w:leader="none"/>
    </w:r>
    <w:r>
      <w:rPr>
        <w:rFonts w:ascii="Calibri" w:hAnsi="Calibri" w:cs="Calibri"/>
        <w:b/>
        <w:bCs/>
        <w:color w:val="9E0047"/>
        <w:sz w:val="26"/>
        <w:szCs w:val="26"/>
      </w:rPr>
      <w:t xml:space="preserve">www.financnisprava.cz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8F1" w:rsidRDefault="00E478F1" w:rsidP="00A44ED9">
      <w:pPr>
        <w:spacing w:after="0" w:line="240" w:lineRule="auto"/>
      </w:pPr>
      <w:r>
        <w:separator/>
      </w:r>
    </w:p>
  </w:footnote>
  <w:footnote w:type="continuationSeparator" w:id="0">
    <w:p w:rsidR="00E478F1" w:rsidRDefault="00E478F1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E2" w:rsidRDefault="00641EE2" w:rsidP="00641EE2">
    <w:pPr>
      <w:pStyle w:val="Zhlav"/>
      <w:ind w:left="-1417"/>
    </w:pPr>
    <w:r>
      <w:rPr>
        <w:noProof/>
        <w:lang w:eastAsia="cs-CZ"/>
      </w:rPr>
      <w:drawing>
        <wp:inline distT="0" distB="0" distL="0" distR="0">
          <wp:extent cx="7540831" cy="1211124"/>
          <wp:effectExtent l="0" t="0" r="3175" b="825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etak 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722" cy="122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25pt;height:12pt" o:bullet="t">
        <v:imagedata r:id="rId1" o:title="Bez názvu-1"/>
      </v:shape>
    </w:pict>
  </w:numPicBullet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297B"/>
    <w:multiLevelType w:val="hybridMultilevel"/>
    <w:tmpl w:val="4134E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E0CF8"/>
    <w:multiLevelType w:val="hybridMultilevel"/>
    <w:tmpl w:val="EBAEFC0A"/>
    <w:lvl w:ilvl="0" w:tplc="BBFC65F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23B1506"/>
    <w:multiLevelType w:val="hybridMultilevel"/>
    <w:tmpl w:val="13D06882"/>
    <w:lvl w:ilvl="0" w:tplc="BBFC65F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34C6"/>
    <w:rsid w:val="0003603B"/>
    <w:rsid w:val="00036556"/>
    <w:rsid w:val="00041D49"/>
    <w:rsid w:val="00095605"/>
    <w:rsid w:val="000A3A20"/>
    <w:rsid w:val="000C2E57"/>
    <w:rsid w:val="000C6921"/>
    <w:rsid w:val="00124940"/>
    <w:rsid w:val="00127ADC"/>
    <w:rsid w:val="00137D37"/>
    <w:rsid w:val="00167CB6"/>
    <w:rsid w:val="00173981"/>
    <w:rsid w:val="00177455"/>
    <w:rsid w:val="00197FA0"/>
    <w:rsid w:val="001C3C8C"/>
    <w:rsid w:val="001F3232"/>
    <w:rsid w:val="002015D2"/>
    <w:rsid w:val="00221773"/>
    <w:rsid w:val="00222B9F"/>
    <w:rsid w:val="002279E1"/>
    <w:rsid w:val="00234775"/>
    <w:rsid w:val="0023481C"/>
    <w:rsid w:val="00236496"/>
    <w:rsid w:val="002709DE"/>
    <w:rsid w:val="00283086"/>
    <w:rsid w:val="00296AEE"/>
    <w:rsid w:val="00297FCE"/>
    <w:rsid w:val="002B643F"/>
    <w:rsid w:val="002E3898"/>
    <w:rsid w:val="002E6C2B"/>
    <w:rsid w:val="002F15A0"/>
    <w:rsid w:val="00316B2E"/>
    <w:rsid w:val="00317706"/>
    <w:rsid w:val="00371F14"/>
    <w:rsid w:val="003738E2"/>
    <w:rsid w:val="003964F7"/>
    <w:rsid w:val="003C1ED9"/>
    <w:rsid w:val="00401E27"/>
    <w:rsid w:val="00420A57"/>
    <w:rsid w:val="004324F8"/>
    <w:rsid w:val="00435F93"/>
    <w:rsid w:val="0045246F"/>
    <w:rsid w:val="0047347D"/>
    <w:rsid w:val="00477A5E"/>
    <w:rsid w:val="004B6BA4"/>
    <w:rsid w:val="004C3000"/>
    <w:rsid w:val="004D3786"/>
    <w:rsid w:val="004E5300"/>
    <w:rsid w:val="004E5FDB"/>
    <w:rsid w:val="005117FD"/>
    <w:rsid w:val="0054766B"/>
    <w:rsid w:val="00591181"/>
    <w:rsid w:val="005E780A"/>
    <w:rsid w:val="005F1F28"/>
    <w:rsid w:val="00604C08"/>
    <w:rsid w:val="006108D5"/>
    <w:rsid w:val="00641EE2"/>
    <w:rsid w:val="00660596"/>
    <w:rsid w:val="00661F87"/>
    <w:rsid w:val="006A4D57"/>
    <w:rsid w:val="006B6FB8"/>
    <w:rsid w:val="006C407B"/>
    <w:rsid w:val="006E5CDC"/>
    <w:rsid w:val="006F798C"/>
    <w:rsid w:val="007044BC"/>
    <w:rsid w:val="007055CD"/>
    <w:rsid w:val="00721BDF"/>
    <w:rsid w:val="00743D76"/>
    <w:rsid w:val="00755E89"/>
    <w:rsid w:val="007570C8"/>
    <w:rsid w:val="00764B7F"/>
    <w:rsid w:val="00773ECF"/>
    <w:rsid w:val="007911ED"/>
    <w:rsid w:val="007A73F1"/>
    <w:rsid w:val="007B4B64"/>
    <w:rsid w:val="007E004A"/>
    <w:rsid w:val="00827A76"/>
    <w:rsid w:val="0083663E"/>
    <w:rsid w:val="008458C4"/>
    <w:rsid w:val="00850F63"/>
    <w:rsid w:val="00857471"/>
    <w:rsid w:val="00871F66"/>
    <w:rsid w:val="0087327F"/>
    <w:rsid w:val="008B5078"/>
    <w:rsid w:val="00923D62"/>
    <w:rsid w:val="00925DD5"/>
    <w:rsid w:val="009538B0"/>
    <w:rsid w:val="00981066"/>
    <w:rsid w:val="00984027"/>
    <w:rsid w:val="00992998"/>
    <w:rsid w:val="00993A21"/>
    <w:rsid w:val="00A23633"/>
    <w:rsid w:val="00A243A6"/>
    <w:rsid w:val="00A44998"/>
    <w:rsid w:val="00A44ED9"/>
    <w:rsid w:val="00A50C45"/>
    <w:rsid w:val="00A531B7"/>
    <w:rsid w:val="00A61E5F"/>
    <w:rsid w:val="00AA4F6A"/>
    <w:rsid w:val="00AB6599"/>
    <w:rsid w:val="00B31FC9"/>
    <w:rsid w:val="00B37DFC"/>
    <w:rsid w:val="00B51844"/>
    <w:rsid w:val="00B565D1"/>
    <w:rsid w:val="00B8406A"/>
    <w:rsid w:val="00BA3030"/>
    <w:rsid w:val="00BB3E46"/>
    <w:rsid w:val="00BC2F1A"/>
    <w:rsid w:val="00C31F31"/>
    <w:rsid w:val="00C674C5"/>
    <w:rsid w:val="00C7470D"/>
    <w:rsid w:val="00CD1AC2"/>
    <w:rsid w:val="00CD5A24"/>
    <w:rsid w:val="00CE2E85"/>
    <w:rsid w:val="00D00D77"/>
    <w:rsid w:val="00D30B17"/>
    <w:rsid w:val="00D36C29"/>
    <w:rsid w:val="00D37861"/>
    <w:rsid w:val="00D540FC"/>
    <w:rsid w:val="00D949D9"/>
    <w:rsid w:val="00DA1B1D"/>
    <w:rsid w:val="00DA2F4F"/>
    <w:rsid w:val="00DA630E"/>
    <w:rsid w:val="00DB5C12"/>
    <w:rsid w:val="00DB6709"/>
    <w:rsid w:val="00DB6E06"/>
    <w:rsid w:val="00DE375F"/>
    <w:rsid w:val="00E478F1"/>
    <w:rsid w:val="00E47E30"/>
    <w:rsid w:val="00E64169"/>
    <w:rsid w:val="00E67E40"/>
    <w:rsid w:val="00EA16F0"/>
    <w:rsid w:val="00EB3F87"/>
    <w:rsid w:val="00ED5570"/>
    <w:rsid w:val="00EE378F"/>
    <w:rsid w:val="00EF387F"/>
    <w:rsid w:val="00F42E24"/>
    <w:rsid w:val="00F87E26"/>
    <w:rsid w:val="00F97A45"/>
    <w:rsid w:val="00FA456E"/>
    <w:rsid w:val="00FA696B"/>
    <w:rsid w:val="00FB131C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63C0E4-55C4-4F91-953B-D70DA073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DA63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nisp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897C-0DA1-4742-BE8F-CBE4D73E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Králová Pavlína Bc. (FÚ pro Olomoucký kraj)</cp:lastModifiedBy>
  <cp:revision>4</cp:revision>
  <cp:lastPrinted>2018-02-05T15:35:00Z</cp:lastPrinted>
  <dcterms:created xsi:type="dcterms:W3CDTF">2018-02-05T15:38:00Z</dcterms:created>
  <dcterms:modified xsi:type="dcterms:W3CDTF">2020-11-26T09:59:00Z</dcterms:modified>
</cp:coreProperties>
</file>