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6992"/>
      </w:tblGrid>
      <w:tr w:rsidR="00950436" w14:paraId="74AFD5EB" w14:textId="77777777" w:rsidTr="005E2A7E">
        <w:trPr>
          <w:trHeight w:hRule="exact" w:val="559"/>
        </w:trPr>
        <w:tc>
          <w:tcPr>
            <w:tcW w:w="10717" w:type="dxa"/>
            <w:gridSpan w:val="2"/>
          </w:tcPr>
          <w:p w14:paraId="652C6F1F" w14:textId="5D95A4A4" w:rsidR="00950436" w:rsidRDefault="005E2A7E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b/>
                <w:spacing w:val="-2"/>
                <w:sz w:val="28"/>
                <w:szCs w:val="28"/>
                <w:u w:val="single"/>
              </w:rPr>
              <w:t>Vymáhání pohledávek (85/26)</w:t>
            </w:r>
          </w:p>
        </w:tc>
      </w:tr>
      <w:tr w:rsidR="00950436" w14:paraId="59C43381" w14:textId="77777777" w:rsidTr="005E2A7E">
        <w:trPr>
          <w:trHeight w:hRule="exact" w:val="459"/>
        </w:trPr>
        <w:tc>
          <w:tcPr>
            <w:tcW w:w="3725" w:type="dxa"/>
          </w:tcPr>
          <w:p w14:paraId="05658053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Žádost:</w:t>
            </w:r>
          </w:p>
        </w:tc>
        <w:tc>
          <w:tcPr>
            <w:tcW w:w="6992" w:type="dxa"/>
          </w:tcPr>
          <w:p w14:paraId="21F89DA3" w14:textId="77777777" w:rsidR="00950436" w:rsidRPr="005E2A7E" w:rsidRDefault="00950436">
            <w:pPr>
              <w:rPr>
                <w:sz w:val="22"/>
                <w:szCs w:val="22"/>
              </w:rPr>
            </w:pPr>
          </w:p>
        </w:tc>
      </w:tr>
      <w:tr w:rsidR="00950436" w14:paraId="21B82587" w14:textId="77777777" w:rsidTr="005E2A7E">
        <w:trPr>
          <w:trHeight w:hRule="exact" w:val="100"/>
        </w:trPr>
        <w:tc>
          <w:tcPr>
            <w:tcW w:w="10717" w:type="dxa"/>
            <w:gridSpan w:val="2"/>
          </w:tcPr>
          <w:p w14:paraId="56F8CC08" w14:textId="77777777" w:rsidR="00950436" w:rsidRPr="005E2A7E" w:rsidRDefault="00950436">
            <w:pPr>
              <w:rPr>
                <w:sz w:val="22"/>
                <w:szCs w:val="22"/>
              </w:rPr>
            </w:pPr>
          </w:p>
        </w:tc>
      </w:tr>
      <w:tr w:rsidR="00950436" w14:paraId="4AA8EC42" w14:textId="77777777" w:rsidTr="005E2A7E">
        <w:trPr>
          <w:trHeight w:hRule="exact" w:val="2064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30845E9F" w14:textId="77777777" w:rsidR="00950436" w:rsidRPr="005E2A7E" w:rsidRDefault="0095043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612EC48A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spacing w:val="-2"/>
                <w:sz w:val="22"/>
                <w:szCs w:val="22"/>
              </w:rPr>
              <w:t>      1.  Jaká je u FSČR celková výše pohledávek po splatnosti za dlužníky k 31. 12. 2025?</w:t>
            </w:r>
          </w:p>
          <w:p w14:paraId="5A36C69C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spacing w:val="-2"/>
                <w:sz w:val="22"/>
                <w:szCs w:val="22"/>
              </w:rPr>
              <w:t>      2.  Jaký je k témuž datu objem pohledávek po splatnosti vymáhaných přímo FSČR a jaký je objem pohledávek vymáhaných pro FSČR soudními exekutory, jaký je objem pohledávek nevymáhaných?</w:t>
            </w:r>
          </w:p>
          <w:p w14:paraId="026E3EC5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spacing w:val="-2"/>
                <w:sz w:val="22"/>
                <w:szCs w:val="22"/>
              </w:rPr>
              <w:t>      3.  Jaká je % úspěšnost vymáhání pohledávek samotnou FSČR a jaká je úspěšnost vymáhání pohledávek u soudních exekutorů?</w:t>
            </w:r>
          </w:p>
          <w:p w14:paraId="5A6AB4DA" w14:textId="77777777" w:rsidR="00950436" w:rsidRPr="005E2A7E" w:rsidRDefault="00950436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</w:tc>
      </w:tr>
      <w:tr w:rsidR="00950436" w14:paraId="500BD198" w14:textId="77777777" w:rsidTr="005E2A7E">
        <w:trPr>
          <w:trHeight w:hRule="exact" w:val="458"/>
        </w:trPr>
        <w:tc>
          <w:tcPr>
            <w:tcW w:w="3725" w:type="dxa"/>
          </w:tcPr>
          <w:p w14:paraId="0C3645EF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b/>
                <w:spacing w:val="-2"/>
                <w:sz w:val="22"/>
                <w:szCs w:val="22"/>
                <w:u w:val="single"/>
              </w:rPr>
              <w:t>Odpověď:</w:t>
            </w:r>
          </w:p>
        </w:tc>
        <w:tc>
          <w:tcPr>
            <w:tcW w:w="6992" w:type="dxa"/>
          </w:tcPr>
          <w:p w14:paraId="1925892A" w14:textId="77777777" w:rsidR="00950436" w:rsidRPr="005E2A7E" w:rsidRDefault="00950436">
            <w:pPr>
              <w:rPr>
                <w:sz w:val="22"/>
                <w:szCs w:val="22"/>
              </w:rPr>
            </w:pPr>
          </w:p>
        </w:tc>
      </w:tr>
      <w:tr w:rsidR="00950436" w14:paraId="44B98D42" w14:textId="77777777" w:rsidTr="005E2A7E">
        <w:trPr>
          <w:trHeight w:hRule="exact" w:val="101"/>
        </w:trPr>
        <w:tc>
          <w:tcPr>
            <w:tcW w:w="10717" w:type="dxa"/>
            <w:gridSpan w:val="2"/>
          </w:tcPr>
          <w:p w14:paraId="70749D0A" w14:textId="77777777" w:rsidR="00950436" w:rsidRPr="005E2A7E" w:rsidRDefault="00950436">
            <w:pPr>
              <w:rPr>
                <w:sz w:val="22"/>
                <w:szCs w:val="22"/>
              </w:rPr>
            </w:pPr>
          </w:p>
        </w:tc>
      </w:tr>
      <w:tr w:rsidR="00950436" w14:paraId="51E6C536" w14:textId="77777777" w:rsidTr="005E2A7E">
        <w:trPr>
          <w:trHeight w:hRule="exact" w:val="2212"/>
        </w:trPr>
        <w:tc>
          <w:tcPr>
            <w:tcW w:w="10717" w:type="dxa"/>
            <w:gridSpan w:val="2"/>
            <w:tcMar>
              <w:top w:w="72" w:type="dxa"/>
              <w:left w:w="72" w:type="dxa"/>
              <w:right w:w="72" w:type="dxa"/>
            </w:tcMar>
          </w:tcPr>
          <w:p w14:paraId="1D6CE3F0" w14:textId="77777777" w:rsidR="00950436" w:rsidRPr="005E2A7E" w:rsidRDefault="00950436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7571222F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Povinný subjekt Vás odkazuje na zveřejněnou informaci, a totiž na str. 37 až 41 Výroční zprávy Finanční správy ČR pro rok 2025, kde na uvedených stranách naleznete požadované informace. K nalezení zde: </w:t>
            </w:r>
            <w:r w:rsidRPr="005E2A7E">
              <w:rPr>
                <w:rFonts w:ascii="Arial" w:eastAsia="Arial" w:hAnsi="Arial" w:cs="Arial"/>
                <w:color w:val="0000FF"/>
                <w:spacing w:val="-2"/>
                <w:sz w:val="22"/>
                <w:szCs w:val="22"/>
              </w:rPr>
              <w:t>https://financnisprava.gov.cz/cs/financni-sprava/financni-sprava-cr/vyrocni-zpravy-a-informace-o-cinnosti/2025</w:t>
            </w:r>
            <w:r w:rsidRPr="005E2A7E">
              <w:rPr>
                <w:rFonts w:ascii="Arial" w:eastAsia="Arial" w:hAnsi="Arial" w:cs="Arial"/>
                <w:spacing w:val="-2"/>
                <w:sz w:val="22"/>
                <w:szCs w:val="22"/>
              </w:rPr>
              <w:t>. </w:t>
            </w:r>
          </w:p>
          <w:p w14:paraId="10396787" w14:textId="77777777" w:rsidR="00950436" w:rsidRPr="005E2A7E" w:rsidRDefault="00950436">
            <w:pPr>
              <w:spacing w:line="16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</w:p>
          <w:p w14:paraId="054562AA" w14:textId="77777777" w:rsidR="00950436" w:rsidRPr="005E2A7E" w:rsidRDefault="00000000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2"/>
                <w:szCs w:val="22"/>
              </w:rPr>
            </w:pPr>
            <w:r w:rsidRPr="005E2A7E">
              <w:rPr>
                <w:rFonts w:ascii="Arial" w:eastAsia="Arial" w:hAnsi="Arial" w:cs="Arial"/>
                <w:spacing w:val="-2"/>
                <w:sz w:val="22"/>
                <w:szCs w:val="22"/>
              </w:rPr>
              <w:t xml:space="preserve"> </w:t>
            </w:r>
          </w:p>
        </w:tc>
      </w:tr>
    </w:tbl>
    <w:p w14:paraId="2E84FF75" w14:textId="77777777" w:rsidR="00AA637C" w:rsidRDefault="00AA637C"/>
    <w:sectPr w:rsidR="00AA637C">
      <w:pgSz w:w="11906" w:h="16838"/>
      <w:pgMar w:top="567" w:right="567" w:bottom="517" w:left="567" w:header="226" w:footer="206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36"/>
    <w:rsid w:val="005E2A7E"/>
    <w:rsid w:val="00950436"/>
    <w:rsid w:val="00AA637C"/>
    <w:rsid w:val="00D8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D5334"/>
  <w15:docId w15:val="{7F608BF9-9FDE-43D5-B46F-F794C333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sz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672</Characters>
  <Application>Microsoft Office Word</Application>
  <DocSecurity>0</DocSecurity>
  <Lines>5</Lines>
  <Paragraphs>1</Paragraphs>
  <ScaleCrop>false</ScaleCrop>
  <Company>Stimulsoft Reports.JS 2024.2.6 from 2024.05.20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Bloudková Kateřina Mgr. (GFŘ)</dc:creator>
  <cp:keywords/>
  <dc:description/>
  <cp:lastModifiedBy>Bloudková Kateřina Mgr. (GFŘ)</cp:lastModifiedBy>
  <cp:revision>2</cp:revision>
  <dcterms:created xsi:type="dcterms:W3CDTF">2026-08-26T05:06:00Z</dcterms:created>
  <dcterms:modified xsi:type="dcterms:W3CDTF">2026-08-26T05:06:00Z</dcterms:modified>
  <cp:contentStatus>Netscape * Mozilla/5.0 (Windows NT 10.0; Win64; x64) AppleWebKit/537.36 (KHTML, like Gecko) Chrome/151.0.0.0 Safari/537.36 Edg/151.0.0.0</cp:contentStatus>
</cp:coreProperties>
</file>