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D03585" w14:paraId="204C59B8" w14:textId="77777777" w:rsidTr="00384957">
        <w:trPr>
          <w:trHeight w:hRule="exact" w:val="559"/>
        </w:trPr>
        <w:tc>
          <w:tcPr>
            <w:tcW w:w="10717" w:type="dxa"/>
            <w:gridSpan w:val="2"/>
            <w:shd w:val="clear" w:color="auto" w:fill="auto"/>
          </w:tcPr>
          <w:p w14:paraId="0ED519D3" w14:textId="5BFB4EF4" w:rsidR="00D03585" w:rsidRDefault="0038495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spacing w:val="-2"/>
                <w:sz w:val="28"/>
                <w:szCs w:val="28"/>
                <w:u w:val="single"/>
              </w:rPr>
              <w:t>Metodika k úrokům z prodlení z daně ve dvouleté lhůtě (64/26)</w:t>
            </w:r>
          </w:p>
        </w:tc>
      </w:tr>
      <w:tr w:rsidR="00D03585" w14:paraId="39C0E24E" w14:textId="77777777" w:rsidTr="00384957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6613F2F3" w14:textId="77777777" w:rsidR="00D03585" w:rsidRPr="00384957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384957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Žádost:</w:t>
            </w:r>
          </w:p>
        </w:tc>
        <w:tc>
          <w:tcPr>
            <w:tcW w:w="6992" w:type="dxa"/>
          </w:tcPr>
          <w:p w14:paraId="265C3097" w14:textId="77777777" w:rsidR="00D03585" w:rsidRPr="00384957" w:rsidRDefault="00D03585">
            <w:pPr>
              <w:rPr>
                <w:sz w:val="22"/>
                <w:szCs w:val="22"/>
              </w:rPr>
            </w:pPr>
          </w:p>
        </w:tc>
      </w:tr>
      <w:tr w:rsidR="00D03585" w14:paraId="7191E8E0" w14:textId="77777777" w:rsidTr="00384957">
        <w:trPr>
          <w:trHeight w:hRule="exact" w:val="100"/>
        </w:trPr>
        <w:tc>
          <w:tcPr>
            <w:tcW w:w="10717" w:type="dxa"/>
            <w:gridSpan w:val="2"/>
          </w:tcPr>
          <w:p w14:paraId="37B68ED2" w14:textId="77777777" w:rsidR="00D03585" w:rsidRPr="00384957" w:rsidRDefault="00D03585">
            <w:pPr>
              <w:rPr>
                <w:sz w:val="22"/>
                <w:szCs w:val="22"/>
              </w:rPr>
            </w:pPr>
          </w:p>
        </w:tc>
      </w:tr>
      <w:tr w:rsidR="00D03585" w14:paraId="0B8EAE47" w14:textId="77777777" w:rsidTr="00384957">
        <w:trPr>
          <w:trHeight w:hRule="exact" w:val="1072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59FCA5F" w14:textId="77777777" w:rsidR="00D03585" w:rsidRPr="00384957" w:rsidRDefault="00D03585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5E234EB0" w14:textId="77777777" w:rsidR="00D03585" w:rsidRPr="00384957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38495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Žádám poskytnutí metodického pokynu či pokynů, které by se týkaly úroků z prodlení z daně stanovené ve dvouleté lhůtě podle § 148 odst. 6 daňového řádu.  </w:t>
            </w:r>
          </w:p>
        </w:tc>
      </w:tr>
      <w:tr w:rsidR="00D03585" w14:paraId="1CC39329" w14:textId="77777777" w:rsidTr="00384957">
        <w:trPr>
          <w:trHeight w:hRule="exact" w:val="458"/>
        </w:trPr>
        <w:tc>
          <w:tcPr>
            <w:tcW w:w="3725" w:type="dxa"/>
            <w:shd w:val="clear" w:color="auto" w:fill="auto"/>
          </w:tcPr>
          <w:p w14:paraId="03A20504" w14:textId="77777777" w:rsidR="00D03585" w:rsidRPr="00384957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384957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Odpověď:</w:t>
            </w:r>
          </w:p>
        </w:tc>
        <w:tc>
          <w:tcPr>
            <w:tcW w:w="6992" w:type="dxa"/>
          </w:tcPr>
          <w:p w14:paraId="79A72857" w14:textId="77777777" w:rsidR="00D03585" w:rsidRPr="00384957" w:rsidRDefault="00D03585">
            <w:pPr>
              <w:rPr>
                <w:sz w:val="22"/>
                <w:szCs w:val="22"/>
              </w:rPr>
            </w:pPr>
          </w:p>
        </w:tc>
      </w:tr>
      <w:tr w:rsidR="00D03585" w14:paraId="636F2D4D" w14:textId="77777777" w:rsidTr="00384957">
        <w:trPr>
          <w:trHeight w:hRule="exact" w:val="100"/>
        </w:trPr>
        <w:tc>
          <w:tcPr>
            <w:tcW w:w="10717" w:type="dxa"/>
            <w:gridSpan w:val="2"/>
          </w:tcPr>
          <w:p w14:paraId="15F1419F" w14:textId="77777777" w:rsidR="00D03585" w:rsidRPr="00384957" w:rsidRDefault="00D03585">
            <w:pPr>
              <w:rPr>
                <w:sz w:val="22"/>
                <w:szCs w:val="22"/>
              </w:rPr>
            </w:pPr>
          </w:p>
        </w:tc>
      </w:tr>
      <w:tr w:rsidR="00D03585" w14:paraId="65018153" w14:textId="77777777" w:rsidTr="00384957">
        <w:trPr>
          <w:trHeight w:hRule="exact" w:val="6538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B29DA2F" w14:textId="77777777" w:rsidR="00D03585" w:rsidRPr="00384957" w:rsidRDefault="00D03585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49C4873D" w14:textId="77777777" w:rsidR="00D03585" w:rsidRDefault="00000000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  <w:r w:rsidRPr="0038495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Povinný subjekt sděluje, že pokyn specificky pokrývající Vámi vymezenou oblast nebyl vydán. </w:t>
            </w:r>
          </w:p>
          <w:p w14:paraId="6F80D025" w14:textId="77777777" w:rsidR="00384957" w:rsidRPr="00384957" w:rsidRDefault="00384957">
            <w:pPr>
              <w:spacing w:line="232" w:lineRule="auto"/>
              <w:rPr>
                <w:rFonts w:ascii="Arial" w:eastAsia="Arial" w:hAnsi="Arial" w:cs="Arial"/>
                <w:spacing w:val="-2"/>
                <w:sz w:val="22"/>
                <w:szCs w:val="22"/>
              </w:rPr>
            </w:pPr>
          </w:p>
          <w:p w14:paraId="44C089EC" w14:textId="632C6F60" w:rsidR="00384957" w:rsidRPr="00384957" w:rsidRDefault="00384957" w:rsidP="00384957">
            <w:pPr>
              <w:autoSpaceDE w:val="0"/>
              <w:autoSpaceDN w:val="0"/>
              <w:adjustRightInd w:val="0"/>
              <w:spacing w:after="100" w:afterAutospacing="1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4957">
              <w:rPr>
                <w:rFonts w:ascii="Arial" w:hAnsi="Arial" w:cs="Arial"/>
                <w:sz w:val="22"/>
                <w:szCs w:val="22"/>
              </w:rPr>
              <w:t>Problematika úroků z prodlení je řešena v níže uvedených metodických materiálech, které jsou zveřejněny a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384957">
              <w:rPr>
                <w:rFonts w:ascii="Arial" w:hAnsi="Arial" w:cs="Arial"/>
                <w:sz w:val="22"/>
                <w:szCs w:val="22"/>
              </w:rPr>
              <w:t xml:space="preserve">je možno je dohledat zde: </w:t>
            </w:r>
            <w:hyperlink r:id="rId5" w:history="1">
              <w:r w:rsidRPr="00384957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https://financnisprava.gov.cz/cs/dane/danovy-proces/metodika/metodika</w:t>
              </w:r>
            </w:hyperlink>
          </w:p>
          <w:p w14:paraId="2977EDF7" w14:textId="77777777" w:rsidR="00384957" w:rsidRPr="00384957" w:rsidRDefault="00384957" w:rsidP="0038495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4957">
              <w:rPr>
                <w:rFonts w:ascii="Arial" w:hAnsi="Arial" w:cs="Arial"/>
                <w:color w:val="000000"/>
                <w:sz w:val="22"/>
                <w:szCs w:val="22"/>
              </w:rPr>
              <w:t xml:space="preserve">MP k aplikaci § 251a odst. 2 daňového řádu č. j. 41509/24/7700-50123-051418 ze dne 11. 9. 2024 + příloha s příklady </w:t>
            </w:r>
          </w:p>
          <w:p w14:paraId="78F0DE4A" w14:textId="77777777" w:rsidR="00384957" w:rsidRPr="00384957" w:rsidRDefault="00384957" w:rsidP="0038495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4957">
              <w:rPr>
                <w:rFonts w:ascii="Arial" w:hAnsi="Arial" w:cs="Arial"/>
                <w:color w:val="000000"/>
                <w:sz w:val="22"/>
                <w:szCs w:val="22"/>
              </w:rPr>
              <w:t>MP k přechodu daňové povinnosti u fyzických osob po 1. 1. 2014 č. j. 9218/25/7700-50123-013989, ze dne 5. 6. 2025</w:t>
            </w:r>
          </w:p>
          <w:p w14:paraId="4B8CBA9D" w14:textId="77777777" w:rsidR="00384957" w:rsidRPr="00384957" w:rsidRDefault="00384957" w:rsidP="0038495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4957">
              <w:rPr>
                <w:rFonts w:ascii="Arial" w:hAnsi="Arial" w:cs="Arial"/>
                <w:color w:val="000000"/>
                <w:sz w:val="22"/>
                <w:szCs w:val="22"/>
              </w:rPr>
              <w:t xml:space="preserve">MP k aplikaci § 148 odst. 7 daňového řádu č. j. 45527/24/7700-50128-711513 ze dne 29. 7. 2024  </w:t>
            </w:r>
          </w:p>
          <w:p w14:paraId="70DFEB14" w14:textId="77777777" w:rsidR="00384957" w:rsidRPr="00384957" w:rsidRDefault="00384957" w:rsidP="0038495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84957">
              <w:rPr>
                <w:rFonts w:ascii="Arial" w:hAnsi="Arial" w:cs="Arial"/>
                <w:color w:val="000000"/>
                <w:sz w:val="22"/>
                <w:szCs w:val="22"/>
              </w:rPr>
              <w:t xml:space="preserve">MP k postupu správce kompenzačního bonusu při kolizi kompenzačního bonusu s podporou neslučitelnou s kompenzačním bonusem č. j. 9695/22/7700-10123-711442 ze dne 17. 3. 2022 </w:t>
            </w:r>
          </w:p>
          <w:p w14:paraId="594A5A7F" w14:textId="77777777" w:rsidR="00384957" w:rsidRPr="00384957" w:rsidRDefault="00384957" w:rsidP="0038495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4957">
              <w:rPr>
                <w:rFonts w:ascii="Arial" w:hAnsi="Arial" w:cs="Arial"/>
                <w:color w:val="000000"/>
                <w:sz w:val="22"/>
                <w:szCs w:val="22"/>
              </w:rPr>
              <w:t xml:space="preserve">MP uplatnění úroku z prodlení z daně doměřené na základě zákona o kompenzačním bonusu č. j. 77223/21/7700-10123-711442 ze dne 31. 12. 2021 </w:t>
            </w:r>
          </w:p>
          <w:p w14:paraId="147E9A46" w14:textId="77777777" w:rsidR="00384957" w:rsidRPr="00384957" w:rsidRDefault="00384957" w:rsidP="0038495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4957">
              <w:rPr>
                <w:rFonts w:ascii="Arial" w:hAnsi="Arial" w:cs="Arial"/>
                <w:color w:val="000000"/>
                <w:sz w:val="22"/>
                <w:szCs w:val="22"/>
              </w:rPr>
              <w:t xml:space="preserve">MP k 5letému limitu úročení č. j. 55461/21/7700-10123-205178 ze dne 17. 3. 2022 </w:t>
            </w:r>
            <w:hyperlink r:id="rId6" w:history="1"/>
            <w:r w:rsidRPr="0038495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57F124A1" w14:textId="77777777" w:rsidR="00384957" w:rsidRPr="00384957" w:rsidRDefault="00384957" w:rsidP="0038495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4957">
              <w:rPr>
                <w:rFonts w:ascii="Arial" w:hAnsi="Arial" w:cs="Arial"/>
                <w:color w:val="000000"/>
                <w:sz w:val="22"/>
                <w:szCs w:val="22"/>
              </w:rPr>
              <w:t xml:space="preserve">MP k postupu správce daně dle § 174a až </w:t>
            </w:r>
            <w:proofErr w:type="gramStart"/>
            <w:r w:rsidRPr="00384957">
              <w:rPr>
                <w:rFonts w:ascii="Arial" w:hAnsi="Arial" w:cs="Arial"/>
                <w:color w:val="000000"/>
                <w:sz w:val="22"/>
                <w:szCs w:val="22"/>
              </w:rPr>
              <w:t>174b</w:t>
            </w:r>
            <w:proofErr w:type="gramEnd"/>
            <w:r w:rsidRPr="00384957">
              <w:rPr>
                <w:rFonts w:ascii="Arial" w:hAnsi="Arial" w:cs="Arial"/>
                <w:color w:val="000000"/>
                <w:sz w:val="22"/>
                <w:szCs w:val="22"/>
              </w:rPr>
              <w:t xml:space="preserve"> daňového řádu č. j. 2564/21/7700-10124-050201 ze dne 22. 1. 2021.</w:t>
            </w:r>
          </w:p>
          <w:p w14:paraId="4FA4168A" w14:textId="77777777" w:rsidR="00384957" w:rsidRPr="00384957" w:rsidRDefault="0038495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</w:tc>
      </w:tr>
    </w:tbl>
    <w:p w14:paraId="3C9354E7" w14:textId="77777777" w:rsidR="00830532" w:rsidRDefault="00830532"/>
    <w:sectPr w:rsidR="00830532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36D74"/>
    <w:multiLevelType w:val="hybridMultilevel"/>
    <w:tmpl w:val="969412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664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85"/>
    <w:rsid w:val="00384957"/>
    <w:rsid w:val="006B239C"/>
    <w:rsid w:val="00830532"/>
    <w:rsid w:val="00D0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0E1A"/>
  <w15:docId w15:val="{CB756B48-3F69-452D-997A-B28BF74C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8495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client=internal-element-cse&amp;cx=017013487688345949444:8saow-3nteg&amp;q=https://financnisprava.gov.cz/assets/cs/prilohy/d-sprava-dani-a-poplatku/55461_21_10123_MP_k_5letemu_limitu_uroceni.pdf&amp;sa=U&amp;ved=2ahUKEwjCjL_ZhJOVAxX2V6QEHY8MNJUQFnoECAMQAg&amp;usg=AOvVaw0XnAF_bAq7f_tqtgegr9fZ&amp;fexp=121575038,121575036,121762489,121762490,121695405" TargetMode="External"/><Relationship Id="rId5" Type="http://schemas.openxmlformats.org/officeDocument/2006/relationships/hyperlink" Target="https://financnisprava.gov.cz/cs/dane/danovy-proces/metodika/metodi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1569</Characters>
  <Application>Microsoft Office Word</Application>
  <DocSecurity>0</DocSecurity>
  <Lines>13</Lines>
  <Paragraphs>3</Paragraphs>
  <ScaleCrop>false</ScaleCrop>
  <Company>Stimulsoft Reports.JS 2024.2.6 from 2024.05.20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2</cp:revision>
  <dcterms:created xsi:type="dcterms:W3CDTF">2026-06-22T10:45:00Z</dcterms:created>
  <dcterms:modified xsi:type="dcterms:W3CDTF">2026-06-22T10:45:00Z</dcterms:modified>
  <cp:contentStatus>Netscape * Mozilla/5.0 (Windows NT 10.0; Win64; x64) AppleWebKit/537.36 (KHTML, like Gecko) Chrome/148.0.0.0 Safari/537.36 Edg/148.0.0.0</cp:contentStatus>
</cp:coreProperties>
</file>