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0A322B" w14:paraId="0D9DF474" w14:textId="77777777" w:rsidTr="00D909EA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9FBD818" w14:textId="4F65CCE5" w:rsidR="000A322B" w:rsidRDefault="00D909E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Informace k daňové kobře (29/26)</w:t>
            </w:r>
          </w:p>
        </w:tc>
      </w:tr>
      <w:tr w:rsidR="000A322B" w14:paraId="700208EE" w14:textId="77777777" w:rsidTr="00D909EA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34B8E33C" w14:textId="77777777" w:rsidR="000A322B" w:rsidRPr="00D909E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09EA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3F24306" w14:textId="77777777" w:rsidR="000A322B" w:rsidRPr="00D909EA" w:rsidRDefault="000A322B">
            <w:pPr>
              <w:rPr>
                <w:sz w:val="22"/>
                <w:szCs w:val="22"/>
              </w:rPr>
            </w:pPr>
          </w:p>
        </w:tc>
      </w:tr>
      <w:tr w:rsidR="000A322B" w14:paraId="1C7C8D82" w14:textId="77777777" w:rsidTr="00D909EA">
        <w:trPr>
          <w:trHeight w:hRule="exact" w:val="100"/>
        </w:trPr>
        <w:tc>
          <w:tcPr>
            <w:tcW w:w="10717" w:type="dxa"/>
            <w:gridSpan w:val="2"/>
          </w:tcPr>
          <w:p w14:paraId="191D84CE" w14:textId="77777777" w:rsidR="000A322B" w:rsidRPr="00D909EA" w:rsidRDefault="000A322B">
            <w:pPr>
              <w:rPr>
                <w:sz w:val="22"/>
                <w:szCs w:val="22"/>
              </w:rPr>
            </w:pPr>
          </w:p>
        </w:tc>
      </w:tr>
      <w:tr w:rsidR="000A322B" w14:paraId="766E0053" w14:textId="77777777" w:rsidTr="00D909EA">
        <w:trPr>
          <w:trHeight w:hRule="exact" w:val="1505"/>
        </w:trPr>
        <w:tc>
          <w:tcPr>
            <w:tcW w:w="10717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714D7051" w14:textId="77777777" w:rsidR="000A322B" w:rsidRPr="00D909EA" w:rsidRDefault="000A322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2DAC731" w14:textId="77777777" w:rsidR="000A322B" w:rsidRPr="00D909E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09E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o: </w:t>
            </w:r>
          </w:p>
          <w:p w14:paraId="5E186EB4" w14:textId="77777777" w:rsidR="000A322B" w:rsidRPr="00D909EA" w:rsidRDefault="000A322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A5BC94D" w14:textId="77777777" w:rsidR="000A322B" w:rsidRPr="00D909E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09EA">
              <w:rPr>
                <w:rFonts w:ascii="Arial" w:eastAsia="Arial" w:hAnsi="Arial" w:cs="Arial"/>
                <w:spacing w:val="-2"/>
                <w:sz w:val="22"/>
                <w:szCs w:val="22"/>
              </w:rPr>
              <w:t>      •   informace o nákladech na činnost Daňové Kobry od jejího vzniku, a to po jednotlivých letech,</w:t>
            </w:r>
          </w:p>
          <w:p w14:paraId="5E468DF9" w14:textId="77777777" w:rsidR="000A322B" w:rsidRPr="00D909E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09EA">
              <w:rPr>
                <w:rFonts w:ascii="Arial" w:eastAsia="Arial" w:hAnsi="Arial" w:cs="Arial"/>
                <w:spacing w:val="-2"/>
                <w:sz w:val="22"/>
                <w:szCs w:val="22"/>
              </w:rPr>
              <w:t>      •   informace o finančním přínosu Daňové Kobry v jednotlivých letech; zajímá nás výhradně přínos této jednotky, nikoli o výsledky finančních úřadů,</w:t>
            </w:r>
          </w:p>
          <w:p w14:paraId="53C18516" w14:textId="3FDE750E" w:rsidR="00FB3DF9" w:rsidRPr="00FB3DF9" w:rsidRDefault="00000000" w:rsidP="00FB3DF9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FB3DF9">
              <w:rPr>
                <w:rFonts w:ascii="Arial" w:eastAsia="Arial" w:hAnsi="Arial" w:cs="Arial"/>
                <w:spacing w:val="-2"/>
                <w:sz w:val="22"/>
                <w:szCs w:val="22"/>
              </w:rPr>
              <w:t>      •   </w:t>
            </w:r>
            <w:r w:rsidR="00FB3DF9" w:rsidRPr="00FB3DF9">
              <w:rPr>
                <w:rFonts w:ascii="Arial" w:hAnsi="Arial" w:cs="Arial"/>
                <w:sz w:val="22"/>
                <w:szCs w:val="22"/>
              </w:rPr>
              <w:t>a totiž zda částka 13.530 mil Kč je částka, která byla doměřena či částka, která byla skutečně na základě činnosti Daňové Kobry vyinkasována</w:t>
            </w:r>
          </w:p>
          <w:p w14:paraId="4220912B" w14:textId="6EBEEA2D" w:rsidR="000A322B" w:rsidRPr="00D909EA" w:rsidRDefault="00000000" w:rsidP="00FE28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09E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0A322B" w14:paraId="6B872E1D" w14:textId="77777777" w:rsidTr="00FB3DF9">
        <w:trPr>
          <w:trHeight w:hRule="exact" w:val="639"/>
        </w:trPr>
        <w:tc>
          <w:tcPr>
            <w:tcW w:w="10717" w:type="dxa"/>
            <w:gridSpan w:val="2"/>
            <w:vMerge/>
            <w:shd w:val="clear" w:color="auto" w:fill="auto"/>
          </w:tcPr>
          <w:p w14:paraId="750F6AF5" w14:textId="77777777" w:rsidR="000A322B" w:rsidRPr="00D909EA" w:rsidRDefault="000A322B">
            <w:pPr>
              <w:rPr>
                <w:sz w:val="22"/>
                <w:szCs w:val="22"/>
              </w:rPr>
            </w:pPr>
          </w:p>
        </w:tc>
      </w:tr>
      <w:tr w:rsidR="000A322B" w14:paraId="3D63507D" w14:textId="77777777" w:rsidTr="00D909EA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3D5CAD63" w14:textId="77777777" w:rsidR="000A322B" w:rsidRPr="00D909EA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09EA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27748D74" w14:textId="77777777" w:rsidR="000A322B" w:rsidRPr="00D909EA" w:rsidRDefault="000A322B">
            <w:pPr>
              <w:rPr>
                <w:sz w:val="22"/>
                <w:szCs w:val="22"/>
              </w:rPr>
            </w:pPr>
          </w:p>
        </w:tc>
      </w:tr>
      <w:tr w:rsidR="000A322B" w:rsidRPr="00FB3DF9" w14:paraId="4B7E17EA" w14:textId="77777777" w:rsidTr="00D909EA">
        <w:trPr>
          <w:trHeight w:hRule="exact" w:val="10602"/>
        </w:trPr>
        <w:tc>
          <w:tcPr>
            <w:tcW w:w="10717" w:type="dxa"/>
            <w:gridSpan w:val="2"/>
          </w:tcPr>
          <w:p w14:paraId="5BE6D39A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3DF9">
              <w:rPr>
                <w:rFonts w:ascii="Arial" w:hAnsi="Arial" w:cs="Arial"/>
                <w:sz w:val="22"/>
                <w:szCs w:val="22"/>
                <w:u w:val="single"/>
              </w:rPr>
              <w:t>Ad 1)</w:t>
            </w:r>
          </w:p>
          <w:p w14:paraId="4150A3FF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B03A70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 xml:space="preserve">K dotazu na náklady na činnost Daňové Kobry od jejího vzniku sdělujeme, že tato informace neexistuje a není ji ani možno vytvořit. Tyto náklady nejsou samostatně sledovány. Zaměstnanci (a to jak z Generálního finančního ředitelství, tak z finančních úřadů) zapojení do její činnosti, vykonávali, resp. vykonávají, i jiné činnosti, přičemž i s přihlédnutím k době trvání Daňové Kobry je již nelze odlišit. Ani jiné provozní náklady (na služební cesty, na školení či ubytování a stravné při poradách dotčených týmů) nebyly samostatně sledovány. </w:t>
            </w:r>
            <w:proofErr w:type="gramStart"/>
            <w:r w:rsidRPr="00FB3DF9">
              <w:rPr>
                <w:rFonts w:ascii="Arial" w:hAnsi="Arial" w:cs="Arial"/>
                <w:sz w:val="22"/>
                <w:szCs w:val="22"/>
              </w:rPr>
              <w:t>Jiné</w:t>
            </w:r>
            <w:proofErr w:type="gramEnd"/>
            <w:r w:rsidRPr="00FB3DF9">
              <w:rPr>
                <w:rFonts w:ascii="Arial" w:hAnsi="Arial" w:cs="Arial"/>
                <w:sz w:val="22"/>
                <w:szCs w:val="22"/>
              </w:rPr>
              <w:t xml:space="preserve"> než uvedené náklady nevznikly. Z těchto důvodů nelze náklady vyčíslit.</w:t>
            </w:r>
            <w:r w:rsidRPr="00FB3DF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25B4E738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5BCA946" w14:textId="47D73263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3DF9">
              <w:rPr>
                <w:rFonts w:ascii="Arial" w:hAnsi="Arial" w:cs="Arial"/>
                <w:sz w:val="22"/>
                <w:szCs w:val="22"/>
                <w:u w:val="single"/>
              </w:rPr>
              <w:t>Ad 2)</w:t>
            </w:r>
          </w:p>
          <w:p w14:paraId="44FAD2F2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>K finančnímu přínosu činnosti Daňové Kobry povinný subjekt sděluje následující údaje:</w:t>
            </w:r>
          </w:p>
          <w:tbl>
            <w:tblPr>
              <w:tblW w:w="8667" w:type="dxa"/>
              <w:tblInd w:w="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166"/>
              <w:gridCol w:w="2166"/>
              <w:gridCol w:w="2169"/>
            </w:tblGrid>
            <w:tr w:rsidR="00D909EA" w:rsidRPr="00FB3DF9" w14:paraId="6B2F1D8A" w14:textId="77777777" w:rsidTr="009849EF">
              <w:trPr>
                <w:trHeight w:val="407"/>
              </w:trPr>
              <w:tc>
                <w:tcPr>
                  <w:tcW w:w="866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8511F6B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VÝSLEDKY DAŇOVÉ KOBRY OD JEJÍHO VZNIKU (V MIL. KČ)</w:t>
                  </w:r>
                </w:p>
              </w:tc>
            </w:tr>
            <w:tr w:rsidR="00D909EA" w:rsidRPr="00FB3DF9" w14:paraId="306D7D6D" w14:textId="77777777" w:rsidTr="00D909EA">
              <w:trPr>
                <w:trHeight w:val="814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8D36E4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rok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7F70C5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nevyplacené nadměrné odpočty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15E1EC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zajištěno</w:t>
                  </w:r>
                </w:p>
                <w:p w14:paraId="578908F4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(na základě právní předpisů – trestní řád, daňový řád, zákon o spotřebních daních apod).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2959F9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celkem</w:t>
                  </w:r>
                </w:p>
              </w:tc>
            </w:tr>
            <w:tr w:rsidR="00D909EA" w:rsidRPr="00FB3DF9" w14:paraId="5BE215DA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3717B83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39C4447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945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CF44303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462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1BBC785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1407</w:t>
                  </w:r>
                </w:p>
              </w:tc>
            </w:tr>
            <w:tr w:rsidR="00D909EA" w:rsidRPr="00FB3DF9" w14:paraId="4F4A79AB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B6D328D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390357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713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14222AE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13953A3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2735</w:t>
                  </w:r>
                </w:p>
              </w:tc>
            </w:tr>
            <w:tr w:rsidR="00D909EA" w:rsidRPr="00FB3DF9" w14:paraId="1F84A277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2A6CB6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19968EC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731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5AE14D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2655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A823052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3386</w:t>
                  </w:r>
                </w:p>
              </w:tc>
            </w:tr>
            <w:tr w:rsidR="00D909EA" w:rsidRPr="00FB3DF9" w14:paraId="1F089C88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E597F8E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A7F39A4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541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D2EDE4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869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FFD2F34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1410</w:t>
                  </w:r>
                </w:p>
              </w:tc>
            </w:tr>
            <w:tr w:rsidR="00D909EA" w:rsidRPr="00FB3DF9" w14:paraId="32748D8E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869E18D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FEB764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242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6CE30A6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2260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F2D286B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2502</w:t>
                  </w:r>
                </w:p>
              </w:tc>
            </w:tr>
            <w:tr w:rsidR="00D909EA" w:rsidRPr="00FB3DF9" w14:paraId="50F3EEFE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C673DA7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B50AEE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712F71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710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435D9DD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822</w:t>
                  </w:r>
                </w:p>
              </w:tc>
            </w:tr>
            <w:tr w:rsidR="00D909EA" w:rsidRPr="00FB3DF9" w14:paraId="40A354B6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9245BEB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2E71173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59542C4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666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A2F38D0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680</w:t>
                  </w:r>
                </w:p>
              </w:tc>
            </w:tr>
            <w:tr w:rsidR="00D909EA" w:rsidRPr="00FB3DF9" w14:paraId="01DCC038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4F59917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FEF26D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BA72F18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1015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7C669FC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1067</w:t>
                  </w:r>
                </w:p>
              </w:tc>
            </w:tr>
            <w:tr w:rsidR="00D909EA" w:rsidRPr="00FB3DF9" w14:paraId="74D8259D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CC6C564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08F44C7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597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34E60A5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607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DE8D1C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1204</w:t>
                  </w:r>
                </w:p>
              </w:tc>
            </w:tr>
            <w:tr w:rsidR="00D909EA" w:rsidRPr="00FB3DF9" w14:paraId="07211A6A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327EBF4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93AEA8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5A033A8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661</w:t>
                  </w:r>
                </w:p>
              </w:tc>
              <w:tc>
                <w:tcPr>
                  <w:tcW w:w="216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DEA7897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776</w:t>
                  </w:r>
                </w:p>
              </w:tc>
            </w:tr>
            <w:tr w:rsidR="00D909EA" w:rsidRPr="00FB3DF9" w14:paraId="48D5E728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BFF1B05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4BC3F5F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4D7EDF6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878</w:t>
                  </w:r>
                </w:p>
              </w:tc>
              <w:tc>
                <w:tcPr>
                  <w:tcW w:w="216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AD0D706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893</w:t>
                  </w:r>
                </w:p>
              </w:tc>
            </w:tr>
            <w:tr w:rsidR="00D909EA" w:rsidRPr="00FB3DF9" w14:paraId="4B4BBB7A" w14:textId="77777777" w:rsidTr="00D909EA">
              <w:trPr>
                <w:trHeight w:val="407"/>
              </w:trPr>
              <w:tc>
                <w:tcPr>
                  <w:tcW w:w="21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111CB89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2BA3717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CE02B8C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725</w:t>
                  </w:r>
                </w:p>
              </w:tc>
              <w:tc>
                <w:tcPr>
                  <w:tcW w:w="216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EF36A8F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sz w:val="22"/>
                      <w:szCs w:val="22"/>
                    </w:rPr>
                    <w:t>783</w:t>
                  </w:r>
                </w:p>
              </w:tc>
            </w:tr>
            <w:tr w:rsidR="00D909EA" w:rsidRPr="00FB3DF9" w14:paraId="27B631E2" w14:textId="77777777" w:rsidTr="00D909EA">
              <w:trPr>
                <w:trHeight w:val="449"/>
              </w:trPr>
              <w:tc>
                <w:tcPr>
                  <w:tcW w:w="21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6414C2" w14:textId="77777777" w:rsidR="00D909EA" w:rsidRPr="00FB3DF9" w:rsidRDefault="00D909EA" w:rsidP="00D909E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17D1D5C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4135</w:t>
                  </w:r>
                </w:p>
              </w:tc>
              <w:tc>
                <w:tcPr>
                  <w:tcW w:w="2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7DC25D1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13530</w:t>
                  </w:r>
                </w:p>
              </w:tc>
              <w:tc>
                <w:tcPr>
                  <w:tcW w:w="21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A3A323" w14:textId="77777777" w:rsidR="00D909EA" w:rsidRPr="00FB3DF9" w:rsidRDefault="00D909EA" w:rsidP="00D909EA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3D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17665</w:t>
                  </w:r>
                </w:p>
              </w:tc>
            </w:tr>
          </w:tbl>
          <w:p w14:paraId="13A47F79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BB0CAA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3DF9">
              <w:rPr>
                <w:rFonts w:ascii="Arial" w:hAnsi="Arial" w:cs="Arial"/>
                <w:sz w:val="22"/>
                <w:szCs w:val="22"/>
                <w:u w:val="single"/>
              </w:rPr>
              <w:t xml:space="preserve">Ad 4) </w:t>
            </w:r>
          </w:p>
          <w:p w14:paraId="2AE1A914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3D82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 xml:space="preserve">K dotazu na přijatá opatření k zachovávání mlčenlivosti nutno připomenout, že povinnost mlčenlivosti je úředním osobám dána příslušnými obecně závaznými právními předpisy (zejména § 52 a násl. zákona č. 280/2009 Sb., daňový řád, který se vztahuje i na osoby, které jsou zaměstnány na základě dohod o provedení práce) vč. interních aktů řízení. Povinný subjekt též provádí edukační činnost, využívá preventivní kontrolní mechanismy, jedná se zároveň o součást povinností a pravomocí představených a vedoucích zaměstnanců. Přes veškerá individuální či systémová opatření není možné zabránit selhání lidského faktoru. </w:t>
            </w:r>
          </w:p>
          <w:p w14:paraId="25E46484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F0EFF3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>Mimo jiné jedním z opatření k Vámi uvedené kauze bylo v roce 2018 a 2019 provedení vnitřních kontrol v oblasti uzavřených dohod o provedení práce mimo pracovní poměr. Na základě výsledků těchto kontrol byla specifika a úskalí oblasti dohod o provedení práce mimo pracovní poměr zařazena do průběžného vzdělávání představených a vedoucích zaměstnanců. Taktéž byla přijata příslušná opatření představenými kontrolovaných útvarů. Nadto uvádíme, že celá řada systemizovaných míst v rámci finanční správy obsahuje požadavek na různý stupeň oprávnění k přístupu k utajovaným informacím.</w:t>
            </w:r>
            <w:r w:rsidRPr="00FB3DF9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47320881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3DF9">
              <w:rPr>
                <w:rFonts w:ascii="Arial" w:hAnsi="Arial" w:cs="Arial"/>
                <w:sz w:val="22"/>
                <w:szCs w:val="22"/>
                <w:u w:val="single"/>
              </w:rPr>
              <w:t>Ad 5)</w:t>
            </w:r>
          </w:p>
          <w:p w14:paraId="657D24C9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F930C1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 xml:space="preserve">K dotazu na opatření, aby se neopakovala situace s vyplácením peněz „na černo“ a dotazu na provedení kontrol v dané oblasti sdělujeme, jak je uvedeno výše, že byly provedeny kontroly v oblasti uzavřených dohod o provedení práce mimo pracovní poměr. Nebyl zjištěn žádný další takový případ. </w:t>
            </w:r>
          </w:p>
          <w:p w14:paraId="4ED007A5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C2333D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3DF9">
              <w:rPr>
                <w:rFonts w:ascii="Arial" w:hAnsi="Arial" w:cs="Arial"/>
                <w:sz w:val="22"/>
                <w:szCs w:val="22"/>
                <w:u w:val="single"/>
              </w:rPr>
              <w:t>Ad 6)</w:t>
            </w:r>
          </w:p>
          <w:p w14:paraId="3E346D06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474C0E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 xml:space="preserve">K dotazu na vyvození osobní odpovědnosti povinný subjekt uvádí, že na základě výsledků vnitřní kontroly byla přijata nápravná opatření v souladu jak s interními, tak obecně závaznými právními předpisy (zákonem o státní službě). </w:t>
            </w:r>
          </w:p>
          <w:p w14:paraId="563D9CDC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793CB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 xml:space="preserve">Na podrobnější informace dopadají zákonné výluky (zejm. § 11 odst. 1 písm. a) a § 8a InfZ), přičemž s ohledem na plynutí času by již řada z nich nebyla dostupná. </w:t>
            </w:r>
          </w:p>
          <w:p w14:paraId="61AD8D7D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19DDD5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3DF9">
              <w:rPr>
                <w:rFonts w:ascii="Arial" w:hAnsi="Arial" w:cs="Arial"/>
                <w:sz w:val="22"/>
                <w:szCs w:val="22"/>
                <w:u w:val="single"/>
              </w:rPr>
              <w:t>Ad 7)</w:t>
            </w:r>
          </w:p>
          <w:p w14:paraId="2D602406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2C661" w14:textId="77777777" w:rsidR="00D909EA" w:rsidRPr="00FB3DF9" w:rsidRDefault="00D909EA" w:rsidP="00D909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DF9">
              <w:rPr>
                <w:rFonts w:ascii="Arial" w:hAnsi="Arial" w:cs="Arial"/>
                <w:sz w:val="22"/>
                <w:szCs w:val="22"/>
              </w:rPr>
              <w:t xml:space="preserve">K poslednímu dotazu dotazujícímu se na rozpor výpovědi zaměstnance u soudu a NCOZ povinný subjekt sděluje, že mu není známo, že by tato situace nastala. Zároveň musí připomenout, že pokud by rozpor ve výpovědi zakládal trestně-právní odpovědnost, pak by jednaly orgány činné v trestím řízení. Povinnému subjektu není známo, že by k tomuto došlo. Taktéž mu není znám obsah vyšetřovacího či soudního spisu, proto se k údajným rozporům ve výpovědi nemůže nijak vyjádřit. </w:t>
            </w:r>
          </w:p>
          <w:p w14:paraId="253709C2" w14:textId="77777777" w:rsidR="000A322B" w:rsidRPr="00FB3DF9" w:rsidRDefault="000A3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A892A2" w14:textId="6BB0D092" w:rsidR="00D909EA" w:rsidRPr="00FB3DF9" w:rsidRDefault="00D909EA" w:rsidP="00D909EA">
      <w:pPr>
        <w:jc w:val="both"/>
        <w:rPr>
          <w:rFonts w:ascii="Arial" w:hAnsi="Arial" w:cs="Arial"/>
          <w:sz w:val="22"/>
          <w:szCs w:val="22"/>
          <w:u w:val="single"/>
        </w:rPr>
      </w:pPr>
      <w:r w:rsidRPr="00FB3DF9">
        <w:rPr>
          <w:rFonts w:ascii="Arial" w:hAnsi="Arial" w:cs="Arial"/>
          <w:sz w:val="22"/>
          <w:szCs w:val="22"/>
          <w:u w:val="single"/>
        </w:rPr>
        <w:t xml:space="preserve">Ad </w:t>
      </w:r>
      <w:r w:rsidR="00FB3DF9" w:rsidRPr="00FB3DF9">
        <w:rPr>
          <w:rFonts w:ascii="Arial" w:hAnsi="Arial" w:cs="Arial"/>
          <w:sz w:val="22"/>
          <w:szCs w:val="22"/>
          <w:u w:val="single"/>
        </w:rPr>
        <w:t>3</w:t>
      </w:r>
      <w:r w:rsidRPr="00FB3DF9">
        <w:rPr>
          <w:rFonts w:ascii="Arial" w:hAnsi="Arial" w:cs="Arial"/>
          <w:sz w:val="22"/>
          <w:szCs w:val="22"/>
          <w:u w:val="single"/>
        </w:rPr>
        <w:t xml:space="preserve">) </w:t>
      </w:r>
    </w:p>
    <w:p w14:paraId="1A0E4A63" w14:textId="77777777" w:rsidR="00D909EA" w:rsidRPr="00FB3DF9" w:rsidRDefault="00D909EA" w:rsidP="00D909EA">
      <w:pPr>
        <w:jc w:val="both"/>
        <w:rPr>
          <w:rFonts w:ascii="Arial" w:hAnsi="Arial" w:cs="Arial"/>
          <w:sz w:val="22"/>
          <w:szCs w:val="22"/>
        </w:rPr>
      </w:pPr>
    </w:p>
    <w:p w14:paraId="126924A2" w14:textId="3F02414B" w:rsidR="00FB3DF9" w:rsidRPr="00FB3DF9" w:rsidRDefault="00FB3DF9" w:rsidP="00FB3DF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Pr="00FB3DF9">
        <w:rPr>
          <w:rFonts w:ascii="Arial" w:hAnsi="Arial" w:cs="Arial"/>
          <w:bCs/>
          <w:sz w:val="22"/>
          <w:szCs w:val="22"/>
        </w:rPr>
        <w:t>vedená částka 13.530 mil Kč přestavuje částku, která byla zajištěna podle jednotlivých právních předpisů, především dle zák. č. 280/2009 Sb., daňový řád, zák. č. 141/1961 Sb. trestní řád a zák. č. 353/2003 Sb., o</w:t>
      </w:r>
      <w:r>
        <w:rPr>
          <w:rFonts w:ascii="Arial" w:hAnsi="Arial" w:cs="Arial"/>
          <w:bCs/>
          <w:sz w:val="22"/>
          <w:szCs w:val="22"/>
        </w:rPr>
        <w:t> </w:t>
      </w:r>
      <w:r w:rsidRPr="00FB3DF9">
        <w:rPr>
          <w:rFonts w:ascii="Arial" w:hAnsi="Arial" w:cs="Arial"/>
          <w:bCs/>
          <w:sz w:val="22"/>
          <w:szCs w:val="22"/>
        </w:rPr>
        <w:t xml:space="preserve">spotřebních daních. </w:t>
      </w:r>
    </w:p>
    <w:p w14:paraId="66AF2421" w14:textId="77777777" w:rsidR="00FB3DF9" w:rsidRPr="00FB3DF9" w:rsidRDefault="00FB3DF9" w:rsidP="00FB3DF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E8654D6" w14:textId="77777777" w:rsidR="00D909EA" w:rsidRPr="00D909EA" w:rsidRDefault="00D909EA">
      <w:pPr>
        <w:rPr>
          <w:rFonts w:ascii="Arial" w:hAnsi="Arial" w:cs="Arial"/>
          <w:sz w:val="22"/>
          <w:szCs w:val="22"/>
        </w:rPr>
      </w:pPr>
    </w:p>
    <w:sectPr w:rsidR="00D909EA" w:rsidRPr="00D909EA" w:rsidSect="00D909EA">
      <w:pgSz w:w="11906" w:h="16838"/>
      <w:pgMar w:top="567" w:right="567" w:bottom="0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2B"/>
    <w:rsid w:val="000A322B"/>
    <w:rsid w:val="007F2394"/>
    <w:rsid w:val="00D909EA"/>
    <w:rsid w:val="00FB3DF9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0B8"/>
  <w15:docId w15:val="{6E87F2C6-CA3C-4C47-8A88-1E542E9C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2026-03-25T14:26:00Z</dcterms:created>
  <dcterms:modified xsi:type="dcterms:W3CDTF">2026-03-25T14:26:00Z</dcterms:modified>
  <cp:contentStatus>Netscape * Mozilla/5.0 (Windows NT 10.0; Win64; x64) AppleWebKit/537.36 (KHTML, like Gecko) Chrome/145.0.0.0 Safari/537.36 Edg/145.0.0.0</cp:contentStatus>
</cp:coreProperties>
</file>