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17" w:type="dxa"/>
        <w:tblLayout w:type="fixed"/>
        <w:tblCellMar>
          <w:left w:w="0" w:type="dxa"/>
          <w:right w:w="0" w:type="dxa"/>
        </w:tblCellMar>
        <w:tblLook w:val="04A0" w:firstRow="1" w:lastRow="0" w:firstColumn="1" w:lastColumn="0" w:noHBand="0" w:noVBand="1"/>
      </w:tblPr>
      <w:tblGrid>
        <w:gridCol w:w="3725"/>
        <w:gridCol w:w="6992"/>
      </w:tblGrid>
      <w:tr w:rsidR="00580331" w14:paraId="737FBEC5" w14:textId="77777777" w:rsidTr="004B5ED9">
        <w:trPr>
          <w:trHeight w:hRule="exact" w:val="559"/>
        </w:trPr>
        <w:tc>
          <w:tcPr>
            <w:tcW w:w="10717" w:type="dxa"/>
            <w:gridSpan w:val="2"/>
            <w:shd w:val="clear" w:color="auto" w:fill="auto"/>
          </w:tcPr>
          <w:p w14:paraId="2D716D6D" w14:textId="2818443F" w:rsidR="00580331" w:rsidRDefault="004B5ED9">
            <w:pPr>
              <w:spacing w:line="232" w:lineRule="auto"/>
              <w:rPr>
                <w:rFonts w:ascii="Arial" w:eastAsia="Arial" w:hAnsi="Arial" w:cs="Arial"/>
                <w:color w:val="000000"/>
                <w:spacing w:val="-2"/>
                <w:sz w:val="16"/>
              </w:rPr>
            </w:pPr>
            <w:r w:rsidRPr="004B5ED9">
              <w:rPr>
                <w:rFonts w:ascii="Arial" w:eastAsia="Arial" w:hAnsi="Arial" w:cs="Arial"/>
                <w:b/>
                <w:spacing w:val="-2"/>
                <w:sz w:val="24"/>
                <w:u w:val="single"/>
              </w:rPr>
              <w:t>Převod vratitelných prostředků (17/26)</w:t>
            </w:r>
          </w:p>
        </w:tc>
      </w:tr>
      <w:tr w:rsidR="00580331" w14:paraId="55BF5DF7" w14:textId="77777777" w:rsidTr="004B5ED9">
        <w:trPr>
          <w:trHeight w:hRule="exact" w:val="459"/>
        </w:trPr>
        <w:tc>
          <w:tcPr>
            <w:tcW w:w="3725" w:type="dxa"/>
            <w:shd w:val="clear" w:color="auto" w:fill="auto"/>
          </w:tcPr>
          <w:p w14:paraId="37221B81" w14:textId="77777777" w:rsidR="00580331" w:rsidRPr="004B5ED9" w:rsidRDefault="00000000">
            <w:pPr>
              <w:spacing w:line="232" w:lineRule="auto"/>
              <w:rPr>
                <w:rFonts w:ascii="Arial" w:eastAsia="Arial" w:hAnsi="Arial" w:cs="Arial"/>
                <w:color w:val="000000"/>
                <w:spacing w:val="-2"/>
                <w:sz w:val="22"/>
                <w:szCs w:val="22"/>
              </w:rPr>
            </w:pPr>
            <w:r w:rsidRPr="004B5ED9">
              <w:rPr>
                <w:rFonts w:ascii="Arial" w:eastAsia="Arial" w:hAnsi="Arial" w:cs="Arial"/>
                <w:b/>
                <w:spacing w:val="-2"/>
                <w:sz w:val="22"/>
                <w:szCs w:val="22"/>
                <w:u w:val="single"/>
              </w:rPr>
              <w:t>Žádost:</w:t>
            </w:r>
          </w:p>
        </w:tc>
        <w:tc>
          <w:tcPr>
            <w:tcW w:w="6992" w:type="dxa"/>
          </w:tcPr>
          <w:p w14:paraId="3285E56D" w14:textId="77777777" w:rsidR="00580331" w:rsidRDefault="00580331"/>
        </w:tc>
      </w:tr>
      <w:tr w:rsidR="00580331" w14:paraId="53A6730E" w14:textId="77777777" w:rsidTr="004B5ED9">
        <w:trPr>
          <w:trHeight w:hRule="exact" w:val="2348"/>
        </w:trPr>
        <w:tc>
          <w:tcPr>
            <w:tcW w:w="10717" w:type="dxa"/>
            <w:gridSpan w:val="2"/>
            <w:shd w:val="clear" w:color="auto" w:fill="auto"/>
            <w:tcMar>
              <w:top w:w="72" w:type="dxa"/>
              <w:left w:w="72" w:type="dxa"/>
              <w:right w:w="72" w:type="dxa"/>
            </w:tcMar>
          </w:tcPr>
          <w:p w14:paraId="55BB4718" w14:textId="77777777" w:rsidR="00580331" w:rsidRPr="004B5ED9" w:rsidRDefault="00580331">
            <w:pPr>
              <w:spacing w:line="162" w:lineRule="auto"/>
              <w:rPr>
                <w:rFonts w:ascii="Arial" w:eastAsia="Arial" w:hAnsi="Arial" w:cs="Arial"/>
                <w:color w:val="000000"/>
                <w:spacing w:val="-2"/>
                <w:sz w:val="22"/>
                <w:szCs w:val="22"/>
              </w:rPr>
            </w:pPr>
          </w:p>
          <w:p w14:paraId="0CA356F6" w14:textId="77777777" w:rsidR="00580331" w:rsidRPr="004B5ED9" w:rsidRDefault="00000000">
            <w:pPr>
              <w:spacing w:line="232" w:lineRule="auto"/>
              <w:rPr>
                <w:rFonts w:ascii="Arial" w:eastAsia="Arial" w:hAnsi="Arial" w:cs="Arial"/>
                <w:color w:val="000000"/>
                <w:spacing w:val="-2"/>
                <w:sz w:val="22"/>
                <w:szCs w:val="22"/>
              </w:rPr>
            </w:pPr>
            <w:r w:rsidRPr="004B5ED9">
              <w:rPr>
                <w:rFonts w:ascii="Arial" w:eastAsia="Arial" w:hAnsi="Arial" w:cs="Arial"/>
                <w:i/>
                <w:spacing w:val="-2"/>
                <w:sz w:val="22"/>
                <w:szCs w:val="22"/>
              </w:rPr>
              <w:t>Žádám o sdělení:</w:t>
            </w:r>
          </w:p>
          <w:p w14:paraId="714BDCC7" w14:textId="77777777" w:rsidR="00580331" w:rsidRPr="004B5ED9" w:rsidRDefault="00580331">
            <w:pPr>
              <w:spacing w:line="162" w:lineRule="auto"/>
              <w:rPr>
                <w:rFonts w:ascii="Arial" w:eastAsia="Arial" w:hAnsi="Arial" w:cs="Arial"/>
                <w:color w:val="000000"/>
                <w:spacing w:val="-2"/>
                <w:sz w:val="22"/>
                <w:szCs w:val="22"/>
              </w:rPr>
            </w:pPr>
          </w:p>
          <w:p w14:paraId="0661AE17" w14:textId="77777777" w:rsidR="00580331" w:rsidRPr="004B5ED9" w:rsidRDefault="00000000">
            <w:pPr>
              <w:spacing w:line="232" w:lineRule="auto"/>
              <w:rPr>
                <w:rFonts w:ascii="Arial" w:eastAsia="Arial" w:hAnsi="Arial" w:cs="Arial"/>
                <w:color w:val="000000"/>
                <w:spacing w:val="-2"/>
                <w:sz w:val="22"/>
                <w:szCs w:val="22"/>
              </w:rPr>
            </w:pPr>
            <w:r w:rsidRPr="004B5ED9">
              <w:rPr>
                <w:rFonts w:ascii="Arial" w:eastAsia="Arial" w:hAnsi="Arial" w:cs="Arial"/>
                <w:i/>
                <w:spacing w:val="-2"/>
                <w:sz w:val="22"/>
                <w:szCs w:val="22"/>
              </w:rPr>
              <w:t>a)  Kolik peněz celkem propadlo státu z nepodaných žádostí o vratitelný přeplatek za posledních 5 let?</w:t>
            </w:r>
          </w:p>
          <w:p w14:paraId="6C605C21" w14:textId="77777777" w:rsidR="00580331" w:rsidRPr="004B5ED9" w:rsidRDefault="00580331">
            <w:pPr>
              <w:spacing w:line="162" w:lineRule="auto"/>
              <w:rPr>
                <w:rFonts w:ascii="Arial" w:eastAsia="Arial" w:hAnsi="Arial" w:cs="Arial"/>
                <w:color w:val="000000"/>
                <w:spacing w:val="-2"/>
                <w:sz w:val="22"/>
                <w:szCs w:val="22"/>
              </w:rPr>
            </w:pPr>
          </w:p>
          <w:p w14:paraId="47BB4B89" w14:textId="77777777" w:rsidR="00580331" w:rsidRPr="004B5ED9" w:rsidRDefault="00000000">
            <w:pPr>
              <w:spacing w:line="232" w:lineRule="auto"/>
              <w:rPr>
                <w:rFonts w:ascii="Arial" w:eastAsia="Arial" w:hAnsi="Arial" w:cs="Arial"/>
                <w:color w:val="000000"/>
                <w:spacing w:val="-2"/>
                <w:sz w:val="22"/>
                <w:szCs w:val="22"/>
              </w:rPr>
            </w:pPr>
            <w:r w:rsidRPr="004B5ED9">
              <w:rPr>
                <w:rFonts w:ascii="Arial" w:eastAsia="Arial" w:hAnsi="Arial" w:cs="Arial"/>
                <w:i/>
                <w:spacing w:val="-2"/>
                <w:sz w:val="22"/>
                <w:szCs w:val="22"/>
              </w:rPr>
              <w:t>b)  Kolik peněz celkem propadlo státu z nepodaných žádostí o vratitelný přeplatek za posledních 10 let?</w:t>
            </w:r>
          </w:p>
          <w:p w14:paraId="774D8FD2" w14:textId="77777777" w:rsidR="00580331" w:rsidRPr="004B5ED9" w:rsidRDefault="00580331">
            <w:pPr>
              <w:spacing w:line="162" w:lineRule="auto"/>
              <w:rPr>
                <w:rFonts w:ascii="Arial" w:eastAsia="Arial" w:hAnsi="Arial" w:cs="Arial"/>
                <w:color w:val="000000"/>
                <w:spacing w:val="-2"/>
                <w:sz w:val="22"/>
                <w:szCs w:val="22"/>
              </w:rPr>
            </w:pPr>
          </w:p>
          <w:p w14:paraId="75936F4F" w14:textId="77777777" w:rsidR="00580331" w:rsidRPr="004B5ED9" w:rsidRDefault="00000000">
            <w:pPr>
              <w:spacing w:line="232" w:lineRule="auto"/>
              <w:rPr>
                <w:rFonts w:ascii="Arial" w:eastAsia="Arial" w:hAnsi="Arial" w:cs="Arial"/>
                <w:color w:val="000000"/>
                <w:spacing w:val="-2"/>
                <w:sz w:val="22"/>
                <w:szCs w:val="22"/>
              </w:rPr>
            </w:pPr>
            <w:r w:rsidRPr="004B5ED9">
              <w:rPr>
                <w:rFonts w:ascii="Arial" w:eastAsia="Arial" w:hAnsi="Arial" w:cs="Arial"/>
                <w:i/>
                <w:spacing w:val="-2"/>
                <w:sz w:val="22"/>
                <w:szCs w:val="22"/>
              </w:rPr>
              <w:t>c)  Pokud stát peníze zadržoval neoprávněně, má uživatel nárok na úrok?</w:t>
            </w:r>
          </w:p>
          <w:p w14:paraId="1DFED10C" w14:textId="77777777" w:rsidR="00580331" w:rsidRDefault="00000000">
            <w:pPr>
              <w:spacing w:line="232" w:lineRule="auto"/>
              <w:rPr>
                <w:rFonts w:ascii="Arial" w:eastAsia="Arial" w:hAnsi="Arial" w:cs="Arial"/>
                <w:color w:val="000000"/>
                <w:spacing w:val="-2"/>
                <w:sz w:val="16"/>
              </w:rPr>
            </w:pPr>
            <w:r>
              <w:rPr>
                <w:rFonts w:ascii="Arial" w:eastAsia="Arial" w:hAnsi="Arial" w:cs="Arial"/>
                <w:spacing w:val="-2"/>
                <w:sz w:val="16"/>
                <w:szCs w:val="16"/>
              </w:rPr>
              <w:t xml:space="preserve"> </w:t>
            </w:r>
          </w:p>
        </w:tc>
      </w:tr>
      <w:tr w:rsidR="00580331" w14:paraId="4EF7905B" w14:textId="77777777" w:rsidTr="004B5ED9">
        <w:trPr>
          <w:trHeight w:hRule="exact" w:val="458"/>
        </w:trPr>
        <w:tc>
          <w:tcPr>
            <w:tcW w:w="3725" w:type="dxa"/>
            <w:shd w:val="clear" w:color="auto" w:fill="auto"/>
          </w:tcPr>
          <w:p w14:paraId="4B948C9C" w14:textId="77777777" w:rsidR="00580331" w:rsidRDefault="00000000">
            <w:pPr>
              <w:spacing w:line="232" w:lineRule="auto"/>
              <w:rPr>
                <w:rFonts w:ascii="Arial" w:eastAsia="Arial" w:hAnsi="Arial" w:cs="Arial"/>
                <w:color w:val="000000"/>
                <w:spacing w:val="-2"/>
                <w:sz w:val="24"/>
              </w:rPr>
            </w:pPr>
            <w:r w:rsidRPr="004B5ED9">
              <w:rPr>
                <w:rFonts w:ascii="Arial" w:eastAsia="Arial" w:hAnsi="Arial" w:cs="Arial"/>
                <w:b/>
                <w:spacing w:val="-2"/>
                <w:sz w:val="22"/>
                <w:szCs w:val="22"/>
                <w:u w:val="single"/>
              </w:rPr>
              <w:t>Odpověď:</w:t>
            </w:r>
          </w:p>
        </w:tc>
        <w:tc>
          <w:tcPr>
            <w:tcW w:w="6992" w:type="dxa"/>
          </w:tcPr>
          <w:p w14:paraId="1CE3170A" w14:textId="77777777" w:rsidR="00580331" w:rsidRDefault="00580331"/>
        </w:tc>
      </w:tr>
      <w:tr w:rsidR="00580331" w14:paraId="67EEC098" w14:textId="77777777" w:rsidTr="004B5ED9">
        <w:trPr>
          <w:trHeight w:hRule="exact" w:val="3414"/>
        </w:trPr>
        <w:tc>
          <w:tcPr>
            <w:tcW w:w="10717" w:type="dxa"/>
            <w:gridSpan w:val="2"/>
            <w:shd w:val="clear" w:color="auto" w:fill="auto"/>
            <w:tcMar>
              <w:top w:w="72" w:type="dxa"/>
              <w:left w:w="72" w:type="dxa"/>
              <w:right w:w="72" w:type="dxa"/>
            </w:tcMar>
          </w:tcPr>
          <w:p w14:paraId="1C0E483C" w14:textId="77777777" w:rsidR="00580331" w:rsidRDefault="00580331">
            <w:pPr>
              <w:spacing w:line="162" w:lineRule="auto"/>
              <w:rPr>
                <w:rFonts w:ascii="Arial" w:eastAsia="Arial" w:hAnsi="Arial" w:cs="Arial"/>
                <w:color w:val="000000"/>
                <w:spacing w:val="-2"/>
                <w:sz w:val="16"/>
              </w:rPr>
            </w:pPr>
          </w:p>
          <w:p w14:paraId="6AF5D4A0" w14:textId="77777777" w:rsidR="00580331" w:rsidRPr="004B5ED9" w:rsidRDefault="00000000">
            <w:pPr>
              <w:spacing w:line="232" w:lineRule="auto"/>
              <w:rPr>
                <w:rFonts w:ascii="Arial" w:eastAsia="Arial" w:hAnsi="Arial" w:cs="Arial"/>
                <w:color w:val="000000"/>
                <w:spacing w:val="-2"/>
                <w:sz w:val="22"/>
                <w:szCs w:val="22"/>
              </w:rPr>
            </w:pPr>
            <w:r w:rsidRPr="004B5ED9">
              <w:rPr>
                <w:rFonts w:ascii="Arial" w:eastAsia="Arial" w:hAnsi="Arial" w:cs="Arial"/>
                <w:spacing w:val="-2"/>
                <w:sz w:val="22"/>
                <w:szCs w:val="22"/>
              </w:rPr>
              <w:t>Podle § 160a zákona č. 280/2009 Sb., daňový řád (dále jen „DŘ) platí, že „</w:t>
            </w:r>
            <w:r w:rsidRPr="004B5ED9">
              <w:rPr>
                <w:rFonts w:ascii="Arial" w:eastAsia="Arial" w:hAnsi="Arial" w:cs="Arial"/>
                <w:i/>
                <w:spacing w:val="-2"/>
                <w:sz w:val="22"/>
                <w:szCs w:val="22"/>
              </w:rPr>
              <w:t>Nepožádá-li daňový subjekt o vrácení vratitelného přeplatku do 6 let od konce roku, ve kterém přeplatek vznikl, přeplatek zaniká a stává se příjmem rozpočtu, ze kterého je hrazena činnost správce daně, který jej evidoval</w:t>
            </w:r>
            <w:r w:rsidRPr="004B5ED9">
              <w:rPr>
                <w:rFonts w:ascii="Arial" w:eastAsia="Arial" w:hAnsi="Arial" w:cs="Arial"/>
                <w:spacing w:val="-2"/>
                <w:sz w:val="22"/>
                <w:szCs w:val="22"/>
              </w:rPr>
              <w:t>.“</w:t>
            </w:r>
          </w:p>
          <w:p w14:paraId="73EAEC1E" w14:textId="77777777" w:rsidR="00580331" w:rsidRPr="004B5ED9" w:rsidRDefault="00580331">
            <w:pPr>
              <w:spacing w:line="162" w:lineRule="auto"/>
              <w:rPr>
                <w:rFonts w:ascii="Arial" w:eastAsia="Arial" w:hAnsi="Arial" w:cs="Arial"/>
                <w:color w:val="000000"/>
                <w:spacing w:val="-2"/>
                <w:sz w:val="22"/>
                <w:szCs w:val="22"/>
              </w:rPr>
            </w:pPr>
          </w:p>
          <w:p w14:paraId="16712D9E" w14:textId="77777777" w:rsidR="00580331" w:rsidRPr="004B5ED9" w:rsidRDefault="00000000">
            <w:pPr>
              <w:spacing w:line="232" w:lineRule="auto"/>
              <w:rPr>
                <w:rFonts w:ascii="Arial" w:eastAsia="Arial" w:hAnsi="Arial" w:cs="Arial"/>
                <w:color w:val="000000"/>
                <w:spacing w:val="-2"/>
                <w:sz w:val="22"/>
                <w:szCs w:val="22"/>
              </w:rPr>
            </w:pPr>
            <w:r w:rsidRPr="004B5ED9">
              <w:rPr>
                <w:rFonts w:ascii="Arial" w:eastAsia="Arial" w:hAnsi="Arial" w:cs="Arial"/>
                <w:spacing w:val="-2"/>
                <w:sz w:val="22"/>
                <w:szCs w:val="22"/>
              </w:rPr>
              <w:t xml:space="preserve">Povinný subjekt zpracoval informace tak, jak jimi disponuje. K bodům a) a b) žádosti uvádí, že přeplatky se nemusí převádět ihned po uplynutí uvedené (6leté) lhůty, ale záleží na konkrétním správci daně. </w:t>
            </w:r>
          </w:p>
          <w:p w14:paraId="0EEFBD79" w14:textId="77777777" w:rsidR="00580331" w:rsidRPr="004B5ED9" w:rsidRDefault="00580331">
            <w:pPr>
              <w:spacing w:line="162" w:lineRule="auto"/>
              <w:rPr>
                <w:rFonts w:ascii="Arial" w:eastAsia="Arial" w:hAnsi="Arial" w:cs="Arial"/>
                <w:color w:val="000000"/>
                <w:spacing w:val="-2"/>
                <w:sz w:val="22"/>
                <w:szCs w:val="22"/>
              </w:rPr>
            </w:pPr>
          </w:p>
          <w:p w14:paraId="1E4491D7" w14:textId="77777777" w:rsidR="00580331" w:rsidRPr="004B5ED9" w:rsidRDefault="00000000">
            <w:pPr>
              <w:spacing w:line="232" w:lineRule="auto"/>
              <w:rPr>
                <w:rFonts w:ascii="Arial" w:eastAsia="Arial" w:hAnsi="Arial" w:cs="Arial"/>
                <w:color w:val="000000"/>
                <w:spacing w:val="-2"/>
                <w:sz w:val="22"/>
                <w:szCs w:val="22"/>
              </w:rPr>
            </w:pPr>
            <w:r w:rsidRPr="004B5ED9">
              <w:rPr>
                <w:rFonts w:ascii="Arial" w:eastAsia="Arial" w:hAnsi="Arial" w:cs="Arial"/>
                <w:spacing w:val="-2"/>
                <w:sz w:val="22"/>
                <w:szCs w:val="22"/>
              </w:rPr>
              <w:t xml:space="preserve">V požadovaném rozpětí povinný subjekt zjistil, že došlo k následujícím převodům (zároveň upozorňuje, že převody za posledních 10 letech zahrnují i převody v posledních 5 letech – celkem bylo tedy do státního rozpočtu převedeno více než 2 mld Kč): </w:t>
            </w:r>
          </w:p>
          <w:p w14:paraId="479BB880" w14:textId="77777777" w:rsidR="00580331" w:rsidRPr="004B5ED9" w:rsidRDefault="00580331">
            <w:pPr>
              <w:spacing w:line="162" w:lineRule="auto"/>
              <w:rPr>
                <w:rFonts w:ascii="Arial" w:eastAsia="Arial" w:hAnsi="Arial" w:cs="Arial"/>
                <w:color w:val="000000"/>
                <w:spacing w:val="-2"/>
                <w:sz w:val="22"/>
                <w:szCs w:val="22"/>
              </w:rPr>
            </w:pPr>
          </w:p>
          <w:p w14:paraId="3C01E6B5" w14:textId="77777777" w:rsidR="00580331" w:rsidRPr="004B5ED9" w:rsidRDefault="00000000">
            <w:pPr>
              <w:spacing w:line="232" w:lineRule="auto"/>
              <w:rPr>
                <w:rFonts w:ascii="Arial" w:eastAsia="Arial" w:hAnsi="Arial" w:cs="Arial"/>
                <w:color w:val="000000"/>
                <w:spacing w:val="-2"/>
                <w:sz w:val="22"/>
                <w:szCs w:val="22"/>
              </w:rPr>
            </w:pPr>
            <w:r w:rsidRPr="004B5ED9">
              <w:rPr>
                <w:rFonts w:ascii="Arial" w:eastAsia="Arial" w:hAnsi="Arial" w:cs="Arial"/>
                <w:spacing w:val="-2"/>
                <w:sz w:val="22"/>
                <w:szCs w:val="22"/>
              </w:rPr>
              <w:t xml:space="preserve">      •   Převody v letech 2021–2025 (posledních 5 let) = celkem </w:t>
            </w:r>
            <w:r w:rsidRPr="004B5ED9">
              <w:rPr>
                <w:rFonts w:ascii="Arial" w:eastAsia="Arial" w:hAnsi="Arial" w:cs="Arial"/>
                <w:b/>
                <w:spacing w:val="-2"/>
                <w:sz w:val="22"/>
                <w:szCs w:val="22"/>
              </w:rPr>
              <w:t>1,140 mld. Kč</w:t>
            </w:r>
          </w:p>
          <w:p w14:paraId="2FFC9049" w14:textId="77777777" w:rsidR="00580331" w:rsidRPr="004B5ED9" w:rsidRDefault="00000000">
            <w:pPr>
              <w:spacing w:line="232" w:lineRule="auto"/>
              <w:rPr>
                <w:rFonts w:ascii="Arial" w:eastAsia="Arial" w:hAnsi="Arial" w:cs="Arial"/>
                <w:color w:val="000000"/>
                <w:spacing w:val="-2"/>
                <w:sz w:val="22"/>
                <w:szCs w:val="22"/>
              </w:rPr>
            </w:pPr>
            <w:r w:rsidRPr="004B5ED9">
              <w:rPr>
                <w:rFonts w:ascii="Arial" w:eastAsia="Arial" w:hAnsi="Arial" w:cs="Arial"/>
                <w:spacing w:val="-2"/>
                <w:sz w:val="22"/>
                <w:szCs w:val="22"/>
              </w:rPr>
              <w:t xml:space="preserve">      •   Převody v letech 2016–2025 (posledních 10 let) = celkem </w:t>
            </w:r>
            <w:r w:rsidRPr="004B5ED9">
              <w:rPr>
                <w:rFonts w:ascii="Arial" w:eastAsia="Arial" w:hAnsi="Arial" w:cs="Arial"/>
                <w:b/>
                <w:spacing w:val="-2"/>
                <w:sz w:val="22"/>
                <w:szCs w:val="22"/>
              </w:rPr>
              <w:t>2,264 mld. Kč</w:t>
            </w:r>
          </w:p>
          <w:p w14:paraId="073814E5" w14:textId="77777777" w:rsidR="00580331" w:rsidRPr="004B5ED9" w:rsidRDefault="00580331">
            <w:pPr>
              <w:spacing w:line="232" w:lineRule="auto"/>
              <w:rPr>
                <w:rFonts w:ascii="Arial" w:eastAsia="Arial" w:hAnsi="Arial" w:cs="Arial"/>
                <w:color w:val="000000"/>
                <w:spacing w:val="-2"/>
                <w:sz w:val="22"/>
                <w:szCs w:val="22"/>
              </w:rPr>
            </w:pPr>
          </w:p>
          <w:p w14:paraId="0D86368A" w14:textId="77777777" w:rsidR="00580331" w:rsidRPr="004B5ED9" w:rsidRDefault="00580331">
            <w:pPr>
              <w:spacing w:line="162" w:lineRule="auto"/>
              <w:rPr>
                <w:rFonts w:ascii="Arial" w:eastAsia="Arial" w:hAnsi="Arial" w:cs="Arial"/>
                <w:color w:val="000000"/>
                <w:spacing w:val="-2"/>
                <w:sz w:val="22"/>
                <w:szCs w:val="22"/>
              </w:rPr>
            </w:pPr>
          </w:p>
          <w:p w14:paraId="70E6F916" w14:textId="77777777" w:rsidR="00580331" w:rsidRDefault="00000000">
            <w:pPr>
              <w:spacing w:line="232" w:lineRule="auto"/>
              <w:rPr>
                <w:rFonts w:ascii="Arial" w:eastAsia="Arial" w:hAnsi="Arial" w:cs="Arial"/>
                <w:color w:val="000000"/>
                <w:spacing w:val="-2"/>
                <w:sz w:val="16"/>
              </w:rPr>
            </w:pPr>
            <w:r>
              <w:rPr>
                <w:rFonts w:ascii="Arial" w:eastAsia="Arial" w:hAnsi="Arial" w:cs="Arial"/>
                <w:spacing w:val="-2"/>
                <w:sz w:val="16"/>
                <w:szCs w:val="16"/>
              </w:rPr>
              <w:t xml:space="preserve"> </w:t>
            </w:r>
          </w:p>
        </w:tc>
      </w:tr>
      <w:tr w:rsidR="00580331" w14:paraId="6109B7E0" w14:textId="77777777" w:rsidTr="004B5ED9">
        <w:trPr>
          <w:trHeight w:hRule="exact" w:val="6077"/>
        </w:trPr>
        <w:tc>
          <w:tcPr>
            <w:tcW w:w="10717" w:type="dxa"/>
            <w:gridSpan w:val="2"/>
          </w:tcPr>
          <w:p w14:paraId="24DDD072" w14:textId="77777777" w:rsidR="004B5ED9" w:rsidRPr="004B5ED9" w:rsidRDefault="004B5ED9" w:rsidP="004B5ED9">
            <w:pPr>
              <w:autoSpaceDE w:val="0"/>
              <w:autoSpaceDN w:val="0"/>
              <w:adjustRightInd w:val="0"/>
              <w:jc w:val="both"/>
              <w:rPr>
                <w:rFonts w:ascii="Arial" w:eastAsiaTheme="minorHAnsi" w:hAnsi="Arial" w:cs="Arial"/>
                <w:sz w:val="22"/>
                <w:szCs w:val="22"/>
              </w:rPr>
            </w:pPr>
            <w:r w:rsidRPr="004B5ED9">
              <w:rPr>
                <w:rFonts w:ascii="Arial" w:eastAsiaTheme="minorHAnsi" w:hAnsi="Arial" w:cs="Arial"/>
                <w:sz w:val="22"/>
                <w:szCs w:val="22"/>
              </w:rPr>
              <w:t xml:space="preserve">Jestliže se jedná o vratitelný přeplatek, který je podle DŘ vyplácen daňovému subjektu </w:t>
            </w:r>
            <w:r w:rsidRPr="004B5ED9">
              <w:rPr>
                <w:rFonts w:ascii="Arial" w:eastAsiaTheme="minorHAnsi" w:hAnsi="Arial" w:cs="Arial"/>
                <w:b/>
                <w:bCs/>
                <w:sz w:val="22"/>
                <w:szCs w:val="22"/>
              </w:rPr>
              <w:t>pouze na žádost</w:t>
            </w:r>
            <w:r w:rsidRPr="004B5ED9">
              <w:rPr>
                <w:rFonts w:ascii="Arial" w:eastAsiaTheme="minorHAnsi" w:hAnsi="Arial" w:cs="Arial"/>
                <w:sz w:val="22"/>
                <w:szCs w:val="22"/>
              </w:rPr>
              <w:t xml:space="preserve">, </w:t>
            </w:r>
            <w:r w:rsidRPr="004B5ED9">
              <w:rPr>
                <w:rFonts w:ascii="Arial" w:eastAsiaTheme="minorHAnsi" w:hAnsi="Arial" w:cs="Arial"/>
                <w:b/>
                <w:bCs/>
                <w:sz w:val="22"/>
                <w:szCs w:val="22"/>
              </w:rPr>
              <w:t>a daňový subjekt tuto žádost nepodá</w:t>
            </w:r>
            <w:r w:rsidRPr="004B5ED9">
              <w:rPr>
                <w:rFonts w:ascii="Arial" w:eastAsiaTheme="minorHAnsi" w:hAnsi="Arial" w:cs="Arial"/>
                <w:sz w:val="22"/>
                <w:szCs w:val="22"/>
              </w:rPr>
              <w:t xml:space="preserve">, </w:t>
            </w:r>
            <w:r w:rsidRPr="004B5ED9">
              <w:rPr>
                <w:rFonts w:ascii="Arial" w:eastAsiaTheme="minorHAnsi" w:hAnsi="Arial" w:cs="Arial"/>
                <w:b/>
                <w:bCs/>
                <w:sz w:val="22"/>
                <w:szCs w:val="22"/>
              </w:rPr>
              <w:t>nelze takové prostředky považovat za státem neoprávněně zadržované</w:t>
            </w:r>
            <w:r w:rsidRPr="004B5ED9">
              <w:rPr>
                <w:rFonts w:ascii="Arial" w:eastAsiaTheme="minorHAnsi" w:hAnsi="Arial" w:cs="Arial"/>
                <w:sz w:val="22"/>
                <w:szCs w:val="22"/>
              </w:rPr>
              <w:t>. Zůstává-li tedy vratitelný přeplatek evidován na osobním daňovém účtu, popř. je-li po uplynutí zákonem stanovené doby převeden do státního rozpočtu, ze kterého je hrazena činnost správce daně, nemá v takovém případě daňový subjekt nárok na žádný úrok hrazený správcem daně.</w:t>
            </w:r>
          </w:p>
          <w:p w14:paraId="6C9270CA" w14:textId="77777777" w:rsidR="004B5ED9" w:rsidRDefault="004B5ED9" w:rsidP="004B5ED9">
            <w:pPr>
              <w:autoSpaceDE w:val="0"/>
              <w:autoSpaceDN w:val="0"/>
              <w:adjustRightInd w:val="0"/>
              <w:jc w:val="both"/>
              <w:rPr>
                <w:rFonts w:ascii="Arial" w:eastAsiaTheme="minorHAnsi" w:hAnsi="Arial" w:cs="Arial"/>
                <w:sz w:val="22"/>
                <w:szCs w:val="22"/>
              </w:rPr>
            </w:pPr>
            <w:r w:rsidRPr="004B5ED9">
              <w:rPr>
                <w:rFonts w:ascii="Arial" w:eastAsiaTheme="minorHAnsi" w:hAnsi="Arial" w:cs="Arial"/>
                <w:sz w:val="22"/>
                <w:szCs w:val="22"/>
              </w:rPr>
              <w:t>Podle DŘ je správce daně povinen přiznat daňovému subjektu úrok z důvodu tzv. „neoprávněně zadržovaných peněžních prostředků“ pouze v zákonem definovaných situacích, přičemž DŘ upravuje tyto tři typy úroků hrazených správcem daně:</w:t>
            </w:r>
          </w:p>
          <w:p w14:paraId="35781A83" w14:textId="77777777" w:rsidR="004B5ED9" w:rsidRPr="004B5ED9" w:rsidRDefault="004B5ED9" w:rsidP="004B5ED9">
            <w:pPr>
              <w:autoSpaceDE w:val="0"/>
              <w:autoSpaceDN w:val="0"/>
              <w:adjustRightInd w:val="0"/>
              <w:jc w:val="both"/>
              <w:rPr>
                <w:rFonts w:ascii="Arial" w:eastAsiaTheme="minorHAnsi" w:hAnsi="Arial" w:cs="Arial"/>
                <w:sz w:val="22"/>
                <w:szCs w:val="22"/>
              </w:rPr>
            </w:pPr>
          </w:p>
          <w:p w14:paraId="48FDEB3F" w14:textId="77777777" w:rsidR="004B5ED9" w:rsidRPr="004B5ED9" w:rsidRDefault="004B5ED9" w:rsidP="004B5ED9">
            <w:pPr>
              <w:numPr>
                <w:ilvl w:val="0"/>
                <w:numId w:val="1"/>
              </w:numPr>
              <w:autoSpaceDE w:val="0"/>
              <w:autoSpaceDN w:val="0"/>
              <w:adjustRightInd w:val="0"/>
              <w:spacing w:line="276" w:lineRule="auto"/>
              <w:ind w:left="851" w:hanging="357"/>
              <w:jc w:val="both"/>
              <w:rPr>
                <w:rFonts w:ascii="Arial" w:eastAsiaTheme="minorHAnsi" w:hAnsi="Arial" w:cs="Arial"/>
                <w:b/>
                <w:bCs/>
                <w:sz w:val="22"/>
                <w:szCs w:val="22"/>
              </w:rPr>
            </w:pPr>
            <w:r w:rsidRPr="004B5ED9">
              <w:rPr>
                <w:rFonts w:ascii="Arial" w:eastAsiaTheme="minorHAnsi" w:hAnsi="Arial" w:cs="Arial"/>
                <w:b/>
                <w:bCs/>
                <w:sz w:val="22"/>
                <w:szCs w:val="22"/>
              </w:rPr>
              <w:t>Úrok z vratitelného přeplatku (§ 253a DŘ)</w:t>
            </w:r>
          </w:p>
          <w:p w14:paraId="50369F16" w14:textId="77777777" w:rsidR="004B5ED9" w:rsidRPr="004B5ED9" w:rsidRDefault="004B5ED9" w:rsidP="004B5ED9">
            <w:pPr>
              <w:autoSpaceDE w:val="0"/>
              <w:autoSpaceDN w:val="0"/>
              <w:adjustRightInd w:val="0"/>
              <w:ind w:left="851"/>
              <w:jc w:val="both"/>
              <w:rPr>
                <w:rFonts w:ascii="Arial" w:eastAsiaTheme="minorHAnsi" w:hAnsi="Arial" w:cs="Arial"/>
                <w:sz w:val="22"/>
                <w:szCs w:val="22"/>
              </w:rPr>
            </w:pPr>
            <w:r w:rsidRPr="004B5ED9">
              <w:rPr>
                <w:rFonts w:ascii="Arial" w:eastAsiaTheme="minorHAnsi" w:hAnsi="Arial" w:cs="Arial"/>
                <w:sz w:val="22"/>
                <w:szCs w:val="22"/>
              </w:rPr>
              <w:t xml:space="preserve">Úrok vzniká tehdy, když správce daně nevrátí, nepoužije nebo nepřevede vratitelný přeplatek ve lhůtě stanovené zákonem (jedná se, jak o povinnost učinit uvedené na základě žádosti, tak z moci úřední). Za dobu prodlení má daňový subjekt nárok na úrok ve výši odpovídající úroku z prodlení. </w:t>
            </w:r>
          </w:p>
          <w:p w14:paraId="5A81E89B" w14:textId="77777777" w:rsidR="004B5ED9" w:rsidRPr="004B5ED9" w:rsidRDefault="004B5ED9" w:rsidP="004B5ED9">
            <w:pPr>
              <w:numPr>
                <w:ilvl w:val="0"/>
                <w:numId w:val="1"/>
              </w:numPr>
              <w:autoSpaceDE w:val="0"/>
              <w:autoSpaceDN w:val="0"/>
              <w:adjustRightInd w:val="0"/>
              <w:spacing w:line="276" w:lineRule="auto"/>
              <w:ind w:left="851" w:hanging="357"/>
              <w:jc w:val="both"/>
              <w:rPr>
                <w:rFonts w:ascii="Arial" w:eastAsiaTheme="minorHAnsi" w:hAnsi="Arial" w:cs="Arial"/>
                <w:b/>
                <w:bCs/>
                <w:sz w:val="22"/>
                <w:szCs w:val="22"/>
              </w:rPr>
            </w:pPr>
            <w:r w:rsidRPr="004B5ED9">
              <w:rPr>
                <w:rFonts w:ascii="Arial" w:eastAsiaTheme="minorHAnsi" w:hAnsi="Arial" w:cs="Arial"/>
                <w:b/>
                <w:bCs/>
                <w:sz w:val="22"/>
                <w:szCs w:val="22"/>
              </w:rPr>
              <w:t>Úrok z nesprávně stanovené daně (§ 254 DŘ)</w:t>
            </w:r>
          </w:p>
          <w:p w14:paraId="44C56570" w14:textId="77777777" w:rsidR="004B5ED9" w:rsidRPr="004B5ED9" w:rsidRDefault="004B5ED9" w:rsidP="004B5ED9">
            <w:pPr>
              <w:autoSpaceDE w:val="0"/>
              <w:autoSpaceDN w:val="0"/>
              <w:adjustRightInd w:val="0"/>
              <w:ind w:left="851"/>
              <w:jc w:val="both"/>
              <w:rPr>
                <w:rFonts w:ascii="Arial" w:eastAsiaTheme="minorHAnsi" w:hAnsi="Arial" w:cs="Arial"/>
                <w:sz w:val="22"/>
                <w:szCs w:val="22"/>
              </w:rPr>
            </w:pPr>
            <w:r w:rsidRPr="004B5ED9">
              <w:rPr>
                <w:rFonts w:ascii="Arial" w:eastAsiaTheme="minorHAnsi" w:hAnsi="Arial" w:cs="Arial"/>
                <w:sz w:val="22"/>
                <w:szCs w:val="22"/>
              </w:rPr>
              <w:t>Tento úrok slouží jako kompenzace za nezákonný postup správce daně, kdy byla daň stanovena chybně (např. nezákonně doměřená daň, nezákonně snížený odpočet apod.). Nárok vzniká tehdy, pokud byl původní zásah správce daně objektivně nesprávný a byl v pozdějším řízení zhojen (např. rozhodnutím odvolacího orgánu nebo soudem). I v tomto případě výše úroku odpovídá výši úroku z prodlení.</w:t>
            </w:r>
          </w:p>
          <w:p w14:paraId="63D15F70" w14:textId="77777777" w:rsidR="004B5ED9" w:rsidRPr="004B5ED9" w:rsidRDefault="004B5ED9" w:rsidP="004B5ED9">
            <w:pPr>
              <w:pStyle w:val="Odstavecseseznamem"/>
              <w:numPr>
                <w:ilvl w:val="0"/>
                <w:numId w:val="2"/>
              </w:numPr>
              <w:autoSpaceDE w:val="0"/>
              <w:autoSpaceDN w:val="0"/>
              <w:adjustRightInd w:val="0"/>
              <w:jc w:val="both"/>
              <w:rPr>
                <w:rFonts w:ascii="Arial" w:eastAsiaTheme="minorHAnsi" w:hAnsi="Arial" w:cs="Arial"/>
              </w:rPr>
            </w:pPr>
            <w:r w:rsidRPr="004B5ED9">
              <w:rPr>
                <w:rFonts w:ascii="Arial" w:eastAsiaTheme="minorHAnsi" w:hAnsi="Arial" w:cs="Arial"/>
              </w:rPr>
              <w:t xml:space="preserve">K danému existuje veřejně přístupný metodický pokyn: </w:t>
            </w:r>
            <w:r w:rsidRPr="004B5ED9">
              <w:rPr>
                <w:rFonts w:ascii="Arial" w:eastAsiaTheme="minorHAnsi" w:hAnsi="Arial" w:cs="Arial"/>
                <w:i/>
                <w:iCs/>
              </w:rPr>
              <w:t xml:space="preserve">Metodický pokyn k úroku z nesprávně stanovené daně, č. j. 57164/25/7700-50123-051418 </w:t>
            </w:r>
            <w:r w:rsidRPr="004B5ED9">
              <w:rPr>
                <w:rFonts w:ascii="Arial" w:eastAsiaTheme="minorHAnsi" w:hAnsi="Arial" w:cs="Arial"/>
              </w:rPr>
              <w:t>(</w:t>
            </w:r>
            <w:hyperlink r:id="rId5" w:history="1">
              <w:r w:rsidRPr="004B5ED9">
                <w:rPr>
                  <w:rStyle w:val="Hypertextovodkaz"/>
                  <w:rFonts w:ascii="Arial" w:eastAsiaTheme="minorHAnsi" w:hAnsi="Arial" w:cs="Arial"/>
                </w:rPr>
                <w:t>https:/</w:t>
              </w:r>
              <w:r w:rsidRPr="004B5ED9">
                <w:rPr>
                  <w:rStyle w:val="Hypertextovodkaz"/>
                  <w:rFonts w:ascii="Arial" w:eastAsiaTheme="minorHAnsi" w:hAnsi="Arial" w:cs="Arial"/>
                </w:rPr>
                <w:t>/</w:t>
              </w:r>
              <w:r w:rsidRPr="004B5ED9">
                <w:rPr>
                  <w:rStyle w:val="Hypertextovodkaz"/>
                  <w:rFonts w:ascii="Arial" w:eastAsiaTheme="minorHAnsi" w:hAnsi="Arial" w:cs="Arial"/>
                </w:rPr>
                <w:t>financnisprava.gov.cz/assets/cs/prilohy/d-sprava-dani-a-poplatku/57164_25_MP_k_uroku_z_nespravne_stanovene_dane.pdf</w:t>
              </w:r>
            </w:hyperlink>
            <w:r w:rsidRPr="004B5ED9">
              <w:rPr>
                <w:rFonts w:ascii="Arial" w:eastAsiaTheme="minorHAnsi" w:hAnsi="Arial" w:cs="Arial"/>
              </w:rPr>
              <w:t>)</w:t>
            </w:r>
          </w:p>
          <w:p w14:paraId="4D5F6DF2" w14:textId="77777777" w:rsidR="00580331" w:rsidRPr="004B5ED9" w:rsidRDefault="00580331">
            <w:pPr>
              <w:rPr>
                <w:rFonts w:ascii="Arial" w:hAnsi="Arial" w:cs="Arial"/>
                <w:sz w:val="22"/>
                <w:szCs w:val="22"/>
              </w:rPr>
            </w:pPr>
          </w:p>
        </w:tc>
      </w:tr>
    </w:tbl>
    <w:p w14:paraId="33741922" w14:textId="77777777" w:rsidR="004B5ED9" w:rsidRDefault="004B5ED9" w:rsidP="004B5ED9">
      <w:pPr>
        <w:autoSpaceDE w:val="0"/>
        <w:autoSpaceDN w:val="0"/>
        <w:adjustRightInd w:val="0"/>
        <w:spacing w:line="276" w:lineRule="auto"/>
        <w:ind w:left="851"/>
        <w:jc w:val="both"/>
        <w:rPr>
          <w:rFonts w:ascii="Arial" w:eastAsiaTheme="minorHAnsi" w:hAnsi="Arial" w:cs="Arial"/>
          <w:b/>
          <w:bCs/>
          <w:sz w:val="22"/>
          <w:szCs w:val="22"/>
        </w:rPr>
      </w:pPr>
    </w:p>
    <w:p w14:paraId="7D27C9EF" w14:textId="0BED8E2D" w:rsidR="004B5ED9" w:rsidRPr="004B5ED9" w:rsidRDefault="004B5ED9" w:rsidP="004B5ED9">
      <w:pPr>
        <w:numPr>
          <w:ilvl w:val="0"/>
          <w:numId w:val="1"/>
        </w:numPr>
        <w:autoSpaceDE w:val="0"/>
        <w:autoSpaceDN w:val="0"/>
        <w:adjustRightInd w:val="0"/>
        <w:spacing w:line="276" w:lineRule="auto"/>
        <w:ind w:left="851" w:hanging="357"/>
        <w:jc w:val="both"/>
        <w:rPr>
          <w:rFonts w:ascii="Arial" w:eastAsiaTheme="minorHAnsi" w:hAnsi="Arial" w:cs="Arial"/>
          <w:b/>
          <w:bCs/>
          <w:sz w:val="22"/>
          <w:szCs w:val="22"/>
        </w:rPr>
      </w:pPr>
      <w:r w:rsidRPr="004B5ED9">
        <w:rPr>
          <w:rFonts w:ascii="Arial" w:eastAsiaTheme="minorHAnsi" w:hAnsi="Arial" w:cs="Arial"/>
          <w:b/>
          <w:bCs/>
          <w:sz w:val="22"/>
          <w:szCs w:val="22"/>
        </w:rPr>
        <w:t>Úrok z daňového odpočtu (§ 254a DŘ)</w:t>
      </w:r>
    </w:p>
    <w:p w14:paraId="7A7AD1C1" w14:textId="77777777" w:rsidR="004B5ED9" w:rsidRPr="004B5ED9" w:rsidRDefault="004B5ED9" w:rsidP="004B5ED9">
      <w:pPr>
        <w:autoSpaceDE w:val="0"/>
        <w:autoSpaceDN w:val="0"/>
        <w:adjustRightInd w:val="0"/>
        <w:ind w:left="851" w:hanging="284"/>
        <w:jc w:val="both"/>
        <w:rPr>
          <w:rFonts w:ascii="Arial" w:eastAsiaTheme="minorHAnsi" w:hAnsi="Arial" w:cs="Arial"/>
          <w:sz w:val="22"/>
          <w:szCs w:val="22"/>
        </w:rPr>
      </w:pPr>
      <w:r w:rsidRPr="004B5ED9">
        <w:rPr>
          <w:rFonts w:ascii="Arial" w:eastAsiaTheme="minorHAnsi" w:hAnsi="Arial" w:cs="Arial"/>
          <w:sz w:val="22"/>
          <w:szCs w:val="22"/>
        </w:rPr>
        <w:t xml:space="preserve">     Vzniká tehdy, pokud správce daně zadrží nárokovaný nadměrný odpočet DPH </w:t>
      </w:r>
      <w:proofErr w:type="gramStart"/>
      <w:r w:rsidRPr="004B5ED9">
        <w:rPr>
          <w:rFonts w:ascii="Arial" w:eastAsiaTheme="minorHAnsi" w:hAnsi="Arial" w:cs="Arial"/>
          <w:sz w:val="22"/>
          <w:szCs w:val="22"/>
        </w:rPr>
        <w:t>déle</w:t>
      </w:r>
      <w:proofErr w:type="gramEnd"/>
      <w:r w:rsidRPr="004B5ED9">
        <w:rPr>
          <w:rFonts w:ascii="Arial" w:eastAsiaTheme="minorHAnsi" w:hAnsi="Arial" w:cs="Arial"/>
          <w:sz w:val="22"/>
          <w:szCs w:val="22"/>
        </w:rPr>
        <w:t xml:space="preserve"> než dovoluje zákon. Tento úrok nahrazuje období, kdy daňový subjekt neměl k dispozici prostředky, které mu měly být vráceny v souvislosti s daňovým odpočtem. Výše úroku odpovídá polovině úroku z prodlení.</w:t>
      </w:r>
    </w:p>
    <w:p w14:paraId="54CDC3BC" w14:textId="77777777" w:rsidR="004B5ED9" w:rsidRPr="004B5ED9" w:rsidRDefault="004B5ED9" w:rsidP="004B5ED9">
      <w:pPr>
        <w:autoSpaceDE w:val="0"/>
        <w:autoSpaceDN w:val="0"/>
        <w:adjustRightInd w:val="0"/>
        <w:ind w:left="1560"/>
        <w:jc w:val="both"/>
        <w:rPr>
          <w:rFonts w:ascii="Arial" w:eastAsiaTheme="minorHAnsi" w:hAnsi="Arial" w:cs="Arial"/>
          <w:sz w:val="22"/>
          <w:szCs w:val="22"/>
        </w:rPr>
      </w:pPr>
      <w:r w:rsidRPr="004B5ED9">
        <w:rPr>
          <w:rFonts w:ascii="Arial" w:eastAsiaTheme="minorHAnsi" w:hAnsi="Arial" w:cs="Arial"/>
          <w:sz w:val="22"/>
          <w:szCs w:val="22"/>
        </w:rPr>
        <w:t>K danému existují veřejně přístupné dva metodické pokyny:</w:t>
      </w:r>
    </w:p>
    <w:p w14:paraId="74DAEF6A" w14:textId="6176B2E5" w:rsidR="004B5ED9" w:rsidRPr="004B5ED9" w:rsidRDefault="004B5ED9" w:rsidP="004B5ED9">
      <w:pPr>
        <w:pStyle w:val="Odstavecseseznamem"/>
        <w:numPr>
          <w:ilvl w:val="0"/>
          <w:numId w:val="2"/>
        </w:numPr>
        <w:autoSpaceDE w:val="0"/>
        <w:autoSpaceDN w:val="0"/>
        <w:adjustRightInd w:val="0"/>
        <w:jc w:val="both"/>
        <w:rPr>
          <w:rFonts w:ascii="Arial" w:eastAsiaTheme="minorHAnsi" w:hAnsi="Arial" w:cs="Arial"/>
        </w:rPr>
      </w:pPr>
      <w:r w:rsidRPr="004B5ED9">
        <w:rPr>
          <w:rFonts w:ascii="Arial" w:eastAsiaTheme="minorHAnsi" w:hAnsi="Arial" w:cs="Arial"/>
          <w:i/>
          <w:iCs/>
        </w:rPr>
        <w:t xml:space="preserve">Metodický pokyn ke změnám aplikace úroku z daňového odpočtu dle § 254a daňového řádu, ve znění účinném od 1. 1. 2021, č. j. 12515/21/7700-10124-050201 </w:t>
      </w:r>
      <w:r w:rsidRPr="004B5ED9">
        <w:rPr>
          <w:rFonts w:ascii="Arial" w:eastAsiaTheme="minorHAnsi" w:hAnsi="Arial" w:cs="Arial"/>
        </w:rPr>
        <w:lastRenderedPageBreak/>
        <w:t>(</w:t>
      </w:r>
      <w:hyperlink r:id="rId6" w:history="1">
        <w:r w:rsidRPr="004B5ED9">
          <w:rPr>
            <w:rStyle w:val="Hypertextovodkaz"/>
            <w:rFonts w:ascii="Arial" w:eastAsiaTheme="minorHAnsi" w:hAnsi="Arial" w:cs="Arial"/>
          </w:rPr>
          <w:t>https://financnisprava.gov.c</w:t>
        </w:r>
        <w:r w:rsidRPr="004B5ED9">
          <w:rPr>
            <w:rStyle w:val="Hypertextovodkaz"/>
            <w:rFonts w:ascii="Arial" w:eastAsiaTheme="minorHAnsi" w:hAnsi="Arial" w:cs="Arial"/>
          </w:rPr>
          <w:t>z</w:t>
        </w:r>
        <w:r w:rsidRPr="004B5ED9">
          <w:rPr>
            <w:rStyle w:val="Hypertextovodkaz"/>
            <w:rFonts w:ascii="Arial" w:eastAsiaTheme="minorHAnsi" w:hAnsi="Arial" w:cs="Arial"/>
          </w:rPr>
          <w:t>/assets/cs/prilohy/d-sprava-dani-a-poplatku/12515_21_MP_par254aDR.pdf</w:t>
        </w:r>
      </w:hyperlink>
      <w:r w:rsidRPr="004B5ED9">
        <w:rPr>
          <w:rFonts w:ascii="Arial" w:eastAsiaTheme="minorHAnsi" w:hAnsi="Arial" w:cs="Arial"/>
        </w:rPr>
        <w:t>)</w:t>
      </w:r>
    </w:p>
    <w:p w14:paraId="0E1FB9D6" w14:textId="77777777" w:rsidR="004B5ED9" w:rsidRPr="004B5ED9" w:rsidRDefault="004B5ED9" w:rsidP="004B5ED9">
      <w:pPr>
        <w:pStyle w:val="Odstavecseseznamem"/>
        <w:numPr>
          <w:ilvl w:val="0"/>
          <w:numId w:val="2"/>
        </w:numPr>
        <w:autoSpaceDE w:val="0"/>
        <w:autoSpaceDN w:val="0"/>
        <w:adjustRightInd w:val="0"/>
        <w:jc w:val="both"/>
        <w:rPr>
          <w:rFonts w:ascii="Arial" w:eastAsiaTheme="minorHAnsi" w:hAnsi="Arial" w:cs="Arial"/>
        </w:rPr>
      </w:pPr>
      <w:r w:rsidRPr="004B5ED9">
        <w:rPr>
          <w:rFonts w:ascii="Arial" w:eastAsiaTheme="minorHAnsi" w:hAnsi="Arial" w:cs="Arial"/>
          <w:i/>
          <w:iCs/>
        </w:rPr>
        <w:t xml:space="preserve">Metodický pokyn k aplikaci § 254a odst. 3 daňového řádu, č. j. 33827/24/7700-50128-050201 </w:t>
      </w:r>
      <w:r w:rsidRPr="004B5ED9">
        <w:rPr>
          <w:rFonts w:ascii="Arial" w:eastAsiaTheme="minorHAnsi" w:hAnsi="Arial" w:cs="Arial"/>
        </w:rPr>
        <w:t>(</w:t>
      </w:r>
      <w:hyperlink r:id="rId7" w:history="1">
        <w:r w:rsidRPr="004B5ED9">
          <w:rPr>
            <w:rStyle w:val="Hypertextovodkaz"/>
            <w:rFonts w:ascii="Arial" w:eastAsiaTheme="minorHAnsi" w:hAnsi="Arial" w:cs="Arial"/>
          </w:rPr>
          <w:t>https://financnisprava.gov.cz/assets/cs/prilohy/d-sprava-dani-a-popla</w:t>
        </w:r>
        <w:r w:rsidRPr="004B5ED9">
          <w:rPr>
            <w:rStyle w:val="Hypertextovodkaz"/>
            <w:rFonts w:ascii="Arial" w:eastAsiaTheme="minorHAnsi" w:hAnsi="Arial" w:cs="Arial"/>
          </w:rPr>
          <w:t>t</w:t>
        </w:r>
        <w:r w:rsidRPr="004B5ED9">
          <w:rPr>
            <w:rStyle w:val="Hypertextovodkaz"/>
            <w:rFonts w:ascii="Arial" w:eastAsiaTheme="minorHAnsi" w:hAnsi="Arial" w:cs="Arial"/>
          </w:rPr>
          <w:t>ku/33827_24_MP_k_aplikaci_par_254a_odst_3_DR.pdf</w:t>
        </w:r>
      </w:hyperlink>
      <w:r w:rsidRPr="004B5ED9">
        <w:rPr>
          <w:rFonts w:ascii="Arial" w:eastAsiaTheme="minorHAnsi" w:hAnsi="Arial" w:cs="Arial"/>
        </w:rPr>
        <w:t>)</w:t>
      </w:r>
    </w:p>
    <w:p w14:paraId="7228F1D3" w14:textId="77777777" w:rsidR="004B5ED9" w:rsidRDefault="004B5ED9" w:rsidP="004B5ED9">
      <w:pPr>
        <w:ind w:left="2829" w:firstLine="709"/>
        <w:jc w:val="center"/>
        <w:rPr>
          <w:rFonts w:ascii="Arial" w:hAnsi="Arial" w:cs="Arial"/>
        </w:rPr>
      </w:pPr>
    </w:p>
    <w:p w14:paraId="55977452" w14:textId="77777777" w:rsidR="008D3080" w:rsidRDefault="008D3080"/>
    <w:sectPr w:rsidR="008D3080">
      <w:pgSz w:w="11906" w:h="16838"/>
      <w:pgMar w:top="567" w:right="567" w:bottom="517" w:left="567" w:header="226" w:footer="206"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364AFC"/>
    <w:multiLevelType w:val="hybridMultilevel"/>
    <w:tmpl w:val="76A2893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3F24111D"/>
    <w:multiLevelType w:val="hybridMultilevel"/>
    <w:tmpl w:val="EBE081C8"/>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num w:numId="1" w16cid:durableId="2933700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2914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331"/>
    <w:rsid w:val="00396CE2"/>
    <w:rsid w:val="004B5ED9"/>
    <w:rsid w:val="00580331"/>
    <w:rsid w:val="008D308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1F1AC"/>
  <w15:docId w15:val="{A4214FD1-64E1-4097-8A26-A190EA374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0" w:line="240" w:lineRule="auto"/>
    </w:pPr>
    <w:rPr>
      <w:sz w:val="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B5ED9"/>
    <w:pPr>
      <w:spacing w:after="200" w:line="276" w:lineRule="auto"/>
      <w:ind w:left="720"/>
      <w:contextualSpacing/>
    </w:pPr>
    <w:rPr>
      <w:rFonts w:ascii="Calibri" w:eastAsia="Calibri" w:hAnsi="Calibri" w:cs="Times New Roman"/>
      <w:kern w:val="0"/>
      <w:sz w:val="22"/>
      <w:szCs w:val="22"/>
      <w:lang w:eastAsia="en-US"/>
    </w:rPr>
  </w:style>
  <w:style w:type="character" w:styleId="Hypertextovodkaz">
    <w:name w:val="Hyperlink"/>
    <w:basedOn w:val="Standardnpsmoodstavce"/>
    <w:uiPriority w:val="99"/>
    <w:unhideWhenUsed/>
    <w:rsid w:val="004B5ED9"/>
    <w:rPr>
      <w:color w:val="467886" w:themeColor="hyperlink"/>
      <w:u w:val="single"/>
    </w:rPr>
  </w:style>
  <w:style w:type="character" w:styleId="Sledovanodkaz">
    <w:name w:val="FollowedHyperlink"/>
    <w:basedOn w:val="Standardnpsmoodstavce"/>
    <w:uiPriority w:val="99"/>
    <w:semiHidden/>
    <w:unhideWhenUsed/>
    <w:rsid w:val="004B5ED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inancnisprava.gov.cz/assets/cs/prilohy/d-sprava-dani-a-poplatku/33827_24_MP_k_aplikaci_par_254a_odst_3_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inancnisprava.gov.cz/assets/cs/prilohy/d-sprava-dani-a-poplatku/12515_21_MP_par254aDR.pdf" TargetMode="External"/><Relationship Id="rId5" Type="http://schemas.openxmlformats.org/officeDocument/2006/relationships/hyperlink" Target="https://financnisprava.gov.cz/assets/cs/prilohy/d-sprava-dani-a-poplatku/57164_25_MP_k_uroku_z_nespravne_stanovene_dane.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616</Words>
  <Characters>3641</Characters>
  <Application>Microsoft Office Word</Application>
  <DocSecurity>0</DocSecurity>
  <Lines>30</Lines>
  <Paragraphs>8</Paragraphs>
  <ScaleCrop>false</ScaleCrop>
  <Company>Stimulsoft Reports.JS 2024.2.6 from 2024.05.20</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subject>Report</dc:subject>
  <dc:creator>Bloudková Kateřina Mgr. (GFŘ)</dc:creator>
  <cp:keywords/>
  <dc:description/>
  <cp:lastModifiedBy>Bloudková Kateřina Mgr. (GFŘ)</cp:lastModifiedBy>
  <cp:revision>2</cp:revision>
  <dcterms:created xsi:type="dcterms:W3CDTF">2026-03-13T07:36:00Z</dcterms:created>
  <dcterms:modified xsi:type="dcterms:W3CDTF">2026-03-13T07:36:00Z</dcterms:modified>
  <cp:contentStatus>Netscape * Mozilla/5.0 (Windows NT 10.0; Win64; x64) AppleWebKit/537.36 (KHTML, like Gecko) Chrome/144.0.0.0 Safari/537.36 Edg/144.0.0.0</cp:contentStatus>
</cp:coreProperties>
</file>