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17" w:type="dxa"/>
        <w:tblLayout w:type="fixed"/>
        <w:tblCellMar>
          <w:left w:w="0" w:type="dxa"/>
          <w:right w:w="0" w:type="dxa"/>
        </w:tblCellMar>
        <w:tblLook w:val="04A0" w:firstRow="1" w:lastRow="0" w:firstColumn="1" w:lastColumn="0" w:noHBand="0" w:noVBand="1"/>
      </w:tblPr>
      <w:tblGrid>
        <w:gridCol w:w="3725"/>
        <w:gridCol w:w="6992"/>
      </w:tblGrid>
      <w:tr w:rsidR="000D4F92" w14:paraId="4C116691" w14:textId="77777777" w:rsidTr="00262C36">
        <w:trPr>
          <w:trHeight w:hRule="exact" w:val="559"/>
        </w:trPr>
        <w:tc>
          <w:tcPr>
            <w:tcW w:w="10717" w:type="dxa"/>
            <w:gridSpan w:val="2"/>
            <w:shd w:val="clear" w:color="auto" w:fill="auto"/>
          </w:tcPr>
          <w:p w14:paraId="7B8C2FC4" w14:textId="4EFAB9D3" w:rsidR="000D4F92" w:rsidRPr="00262C36" w:rsidRDefault="00262C36">
            <w:pPr>
              <w:spacing w:line="232" w:lineRule="auto"/>
              <w:rPr>
                <w:rFonts w:ascii="Arial" w:eastAsia="Arial" w:hAnsi="Arial" w:cs="Arial"/>
                <w:color w:val="000000"/>
                <w:spacing w:val="-2"/>
                <w:sz w:val="24"/>
              </w:rPr>
            </w:pPr>
            <w:r w:rsidRPr="00262C36">
              <w:rPr>
                <w:rFonts w:ascii="Arial" w:eastAsia="Arial" w:hAnsi="Arial" w:cs="Arial"/>
                <w:b/>
                <w:spacing w:val="-2"/>
                <w:sz w:val="24"/>
                <w:u w:val="single"/>
              </w:rPr>
              <w:t>Péče o zaměstnance</w:t>
            </w:r>
            <w:r w:rsidR="000934BE">
              <w:rPr>
                <w:rFonts w:ascii="Arial" w:eastAsia="Arial" w:hAnsi="Arial" w:cs="Arial"/>
                <w:b/>
                <w:spacing w:val="-2"/>
                <w:sz w:val="24"/>
                <w:u w:val="single"/>
              </w:rPr>
              <w:t xml:space="preserve"> (73/25)</w:t>
            </w:r>
          </w:p>
        </w:tc>
      </w:tr>
      <w:tr w:rsidR="000D4F92" w14:paraId="1BBACB71" w14:textId="77777777" w:rsidTr="00262C36">
        <w:trPr>
          <w:trHeight w:hRule="exact" w:val="459"/>
        </w:trPr>
        <w:tc>
          <w:tcPr>
            <w:tcW w:w="3725" w:type="dxa"/>
            <w:shd w:val="clear" w:color="auto" w:fill="auto"/>
          </w:tcPr>
          <w:p w14:paraId="04CAA17D" w14:textId="77777777" w:rsidR="000D4F92" w:rsidRPr="00262C36" w:rsidRDefault="00000000">
            <w:pPr>
              <w:spacing w:line="232" w:lineRule="auto"/>
              <w:rPr>
                <w:rFonts w:ascii="Arial" w:eastAsia="Arial" w:hAnsi="Arial" w:cs="Arial"/>
                <w:color w:val="000000"/>
                <w:spacing w:val="-2"/>
                <w:sz w:val="22"/>
                <w:szCs w:val="22"/>
              </w:rPr>
            </w:pPr>
            <w:r w:rsidRPr="00262C36">
              <w:rPr>
                <w:rFonts w:ascii="Arial" w:eastAsia="Arial" w:hAnsi="Arial" w:cs="Arial"/>
                <w:b/>
                <w:spacing w:val="-2"/>
                <w:sz w:val="22"/>
                <w:szCs w:val="22"/>
                <w:u w:val="single"/>
              </w:rPr>
              <w:t>Žádost:</w:t>
            </w:r>
          </w:p>
        </w:tc>
        <w:tc>
          <w:tcPr>
            <w:tcW w:w="6992" w:type="dxa"/>
          </w:tcPr>
          <w:p w14:paraId="6CA1F181" w14:textId="77777777" w:rsidR="000D4F92" w:rsidRPr="00262C36" w:rsidRDefault="000D4F92">
            <w:pPr>
              <w:rPr>
                <w:sz w:val="22"/>
                <w:szCs w:val="22"/>
              </w:rPr>
            </w:pPr>
          </w:p>
        </w:tc>
      </w:tr>
      <w:tr w:rsidR="000D4F92" w14:paraId="63D58784" w14:textId="77777777" w:rsidTr="00262C36">
        <w:trPr>
          <w:trHeight w:hRule="exact" w:val="3863"/>
        </w:trPr>
        <w:tc>
          <w:tcPr>
            <w:tcW w:w="10717" w:type="dxa"/>
            <w:gridSpan w:val="2"/>
            <w:shd w:val="clear" w:color="auto" w:fill="auto"/>
            <w:tcMar>
              <w:top w:w="72" w:type="dxa"/>
              <w:left w:w="72" w:type="dxa"/>
              <w:right w:w="72" w:type="dxa"/>
            </w:tcMar>
          </w:tcPr>
          <w:p w14:paraId="0909F46C" w14:textId="77777777" w:rsidR="000D4F92" w:rsidRPr="00262C36" w:rsidRDefault="00000000" w:rsidP="00262C36">
            <w:pPr>
              <w:spacing w:line="276" w:lineRule="auto"/>
              <w:jc w:val="both"/>
              <w:rPr>
                <w:rFonts w:ascii="Arial" w:eastAsia="Arial" w:hAnsi="Arial" w:cs="Arial"/>
                <w:color w:val="000000"/>
                <w:spacing w:val="-2"/>
                <w:sz w:val="22"/>
                <w:szCs w:val="22"/>
              </w:rPr>
            </w:pPr>
            <w:r w:rsidRPr="00262C36">
              <w:rPr>
                <w:rFonts w:ascii="Arial" w:eastAsia="Arial" w:hAnsi="Arial" w:cs="Arial"/>
                <w:spacing w:val="-2"/>
                <w:sz w:val="22"/>
                <w:szCs w:val="22"/>
              </w:rPr>
              <w:t>Žádám o sdělení:</w:t>
            </w:r>
          </w:p>
          <w:p w14:paraId="3BC7EA0F" w14:textId="39E59D0F" w:rsidR="000D4F92" w:rsidRPr="00262C36" w:rsidRDefault="00000000" w:rsidP="00262C36">
            <w:pPr>
              <w:pStyle w:val="Odstavecseseznamem"/>
              <w:numPr>
                <w:ilvl w:val="0"/>
                <w:numId w:val="1"/>
              </w:numPr>
              <w:spacing w:line="276" w:lineRule="auto"/>
              <w:jc w:val="both"/>
              <w:rPr>
                <w:rFonts w:ascii="Arial" w:eastAsia="Arial" w:hAnsi="Arial" w:cs="Arial"/>
                <w:color w:val="000000"/>
                <w:spacing w:val="-2"/>
                <w:sz w:val="22"/>
                <w:szCs w:val="22"/>
              </w:rPr>
            </w:pPr>
            <w:r w:rsidRPr="00262C36">
              <w:rPr>
                <w:rFonts w:ascii="Arial" w:eastAsia="Arial" w:hAnsi="Arial" w:cs="Arial"/>
                <w:spacing w:val="-2"/>
                <w:sz w:val="22"/>
                <w:szCs w:val="22"/>
              </w:rPr>
              <w:t>zda jsou k dispozici programy nebo opatření zaměřené na prevenci stresu a syndromu vyhoření,</w:t>
            </w:r>
          </w:p>
          <w:p w14:paraId="7F6B0960" w14:textId="3FD9C061" w:rsidR="000D4F92" w:rsidRPr="00262C36" w:rsidRDefault="00000000" w:rsidP="00262C36">
            <w:pPr>
              <w:pStyle w:val="Odstavecseseznamem"/>
              <w:numPr>
                <w:ilvl w:val="0"/>
                <w:numId w:val="1"/>
              </w:numPr>
              <w:spacing w:line="276" w:lineRule="auto"/>
              <w:jc w:val="both"/>
              <w:rPr>
                <w:rFonts w:ascii="Arial" w:eastAsia="Arial" w:hAnsi="Arial" w:cs="Arial"/>
                <w:color w:val="000000"/>
                <w:spacing w:val="-2"/>
                <w:sz w:val="22"/>
                <w:szCs w:val="22"/>
              </w:rPr>
            </w:pPr>
            <w:r w:rsidRPr="00262C36">
              <w:rPr>
                <w:rFonts w:ascii="Arial" w:eastAsia="Arial" w:hAnsi="Arial" w:cs="Arial"/>
                <w:spacing w:val="-2"/>
                <w:sz w:val="22"/>
                <w:szCs w:val="22"/>
              </w:rPr>
              <w:t>jakým způsobem je zaměstnancům poskytována psychologická či jiná podpora,</w:t>
            </w:r>
          </w:p>
          <w:p w14:paraId="4853B677" w14:textId="3B3C1D46" w:rsidR="000D4F92" w:rsidRPr="00262C36" w:rsidRDefault="00000000" w:rsidP="00262C36">
            <w:pPr>
              <w:pStyle w:val="Odstavecseseznamem"/>
              <w:numPr>
                <w:ilvl w:val="0"/>
                <w:numId w:val="1"/>
              </w:numPr>
              <w:spacing w:line="276" w:lineRule="auto"/>
              <w:jc w:val="both"/>
              <w:rPr>
                <w:rFonts w:ascii="Arial" w:eastAsia="Arial" w:hAnsi="Arial" w:cs="Arial"/>
                <w:color w:val="000000"/>
                <w:spacing w:val="-2"/>
                <w:sz w:val="22"/>
                <w:szCs w:val="22"/>
              </w:rPr>
            </w:pPr>
            <w:r w:rsidRPr="00262C36">
              <w:rPr>
                <w:rFonts w:ascii="Arial" w:eastAsia="Arial" w:hAnsi="Arial" w:cs="Arial"/>
                <w:spacing w:val="-2"/>
                <w:sz w:val="22"/>
                <w:szCs w:val="22"/>
              </w:rPr>
              <w:t>zda finanční správa nabízí školení či vzdělávání v oblasti zvládání stresu a duševní hygieny,</w:t>
            </w:r>
          </w:p>
          <w:p w14:paraId="4E8BC02E" w14:textId="22DC3CD3" w:rsidR="000D4F92" w:rsidRPr="00262C36" w:rsidRDefault="00000000" w:rsidP="00262C36">
            <w:pPr>
              <w:pStyle w:val="Odstavecseseznamem"/>
              <w:numPr>
                <w:ilvl w:val="0"/>
                <w:numId w:val="1"/>
              </w:numPr>
              <w:spacing w:line="276" w:lineRule="auto"/>
              <w:jc w:val="both"/>
              <w:rPr>
                <w:rFonts w:ascii="Arial" w:eastAsia="Arial" w:hAnsi="Arial" w:cs="Arial"/>
                <w:color w:val="000000"/>
                <w:spacing w:val="-2"/>
                <w:sz w:val="22"/>
                <w:szCs w:val="22"/>
              </w:rPr>
            </w:pPr>
            <w:r w:rsidRPr="00262C36">
              <w:rPr>
                <w:rFonts w:ascii="Arial" w:eastAsia="Arial" w:hAnsi="Arial" w:cs="Arial"/>
                <w:spacing w:val="-2"/>
                <w:sz w:val="22"/>
                <w:szCs w:val="22"/>
              </w:rPr>
              <w:t>jaké možnosti mají zaměstnanci pro slaďování pracovního a soukromého života,</w:t>
            </w:r>
          </w:p>
          <w:p w14:paraId="62589374" w14:textId="20DE6C55" w:rsidR="000D4F92" w:rsidRPr="00262C36" w:rsidRDefault="00000000" w:rsidP="00262C36">
            <w:pPr>
              <w:pStyle w:val="Odstavecseseznamem"/>
              <w:numPr>
                <w:ilvl w:val="0"/>
                <w:numId w:val="1"/>
              </w:numPr>
              <w:spacing w:line="276" w:lineRule="auto"/>
              <w:jc w:val="both"/>
              <w:rPr>
                <w:rFonts w:ascii="Arial" w:eastAsia="Arial" w:hAnsi="Arial" w:cs="Arial"/>
                <w:color w:val="000000"/>
                <w:spacing w:val="-2"/>
                <w:sz w:val="22"/>
                <w:szCs w:val="22"/>
              </w:rPr>
            </w:pPr>
            <w:r w:rsidRPr="00262C36">
              <w:rPr>
                <w:rFonts w:ascii="Arial" w:eastAsia="Arial" w:hAnsi="Arial" w:cs="Arial"/>
                <w:spacing w:val="-2"/>
                <w:sz w:val="22"/>
                <w:szCs w:val="22"/>
              </w:rPr>
              <w:t>zda probíhají průzkumy spokojenosti zaměstnanců a jak se s jejich výsledky dále pracuje,</w:t>
            </w:r>
          </w:p>
          <w:p w14:paraId="7B1DB4CF" w14:textId="0667E8EC" w:rsidR="000D4F92" w:rsidRPr="00262C36" w:rsidRDefault="00000000" w:rsidP="00262C36">
            <w:pPr>
              <w:pStyle w:val="Odstavecseseznamem"/>
              <w:numPr>
                <w:ilvl w:val="0"/>
                <w:numId w:val="1"/>
              </w:numPr>
              <w:spacing w:line="276" w:lineRule="auto"/>
              <w:jc w:val="both"/>
              <w:rPr>
                <w:rFonts w:ascii="Arial" w:eastAsia="Arial" w:hAnsi="Arial" w:cs="Arial"/>
                <w:color w:val="000000"/>
                <w:spacing w:val="-2"/>
                <w:sz w:val="22"/>
                <w:szCs w:val="22"/>
              </w:rPr>
            </w:pPr>
            <w:r w:rsidRPr="00262C36">
              <w:rPr>
                <w:rFonts w:ascii="Arial" w:eastAsia="Arial" w:hAnsi="Arial" w:cs="Arial"/>
                <w:spacing w:val="-2"/>
                <w:sz w:val="22"/>
                <w:szCs w:val="22"/>
              </w:rPr>
              <w:t>jaké benefity nebo volnočasové aktivity zaměřené na regeneraci a odpočinek jsou zaměstnancům k</w:t>
            </w:r>
            <w:r w:rsidR="00262C36">
              <w:rPr>
                <w:rFonts w:ascii="Arial" w:eastAsia="Arial" w:hAnsi="Arial" w:cs="Arial"/>
                <w:spacing w:val="-2"/>
                <w:sz w:val="22"/>
                <w:szCs w:val="22"/>
              </w:rPr>
              <w:t> </w:t>
            </w:r>
            <w:r w:rsidRPr="00262C36">
              <w:rPr>
                <w:rFonts w:ascii="Arial" w:eastAsia="Arial" w:hAnsi="Arial" w:cs="Arial"/>
                <w:spacing w:val="-2"/>
                <w:sz w:val="22"/>
                <w:szCs w:val="22"/>
              </w:rPr>
              <w:t>dispozici,</w:t>
            </w:r>
          </w:p>
          <w:p w14:paraId="3DAE6A14" w14:textId="0226DD00" w:rsidR="000D4F92" w:rsidRPr="00262C36" w:rsidRDefault="00000000" w:rsidP="00262C36">
            <w:pPr>
              <w:pStyle w:val="Odstavecseseznamem"/>
              <w:numPr>
                <w:ilvl w:val="0"/>
                <w:numId w:val="1"/>
              </w:numPr>
              <w:spacing w:line="276" w:lineRule="auto"/>
              <w:jc w:val="both"/>
              <w:rPr>
                <w:rFonts w:ascii="Arial" w:eastAsia="Arial" w:hAnsi="Arial" w:cs="Arial"/>
                <w:color w:val="000000"/>
                <w:spacing w:val="-2"/>
                <w:sz w:val="22"/>
                <w:szCs w:val="22"/>
              </w:rPr>
            </w:pPr>
            <w:r w:rsidRPr="00262C36">
              <w:rPr>
                <w:rFonts w:ascii="Arial" w:eastAsia="Arial" w:hAnsi="Arial" w:cs="Arial"/>
                <w:spacing w:val="-2"/>
                <w:sz w:val="22"/>
                <w:szCs w:val="22"/>
              </w:rPr>
              <w:t>zda existují nástroje či postupy pro sledování a vyvažování pracovní zátěže,</w:t>
            </w:r>
          </w:p>
          <w:p w14:paraId="6C285F1B" w14:textId="7DFA0137" w:rsidR="000D4F92" w:rsidRPr="00262C36" w:rsidRDefault="00000000" w:rsidP="00262C36">
            <w:pPr>
              <w:pStyle w:val="Odstavecseseznamem"/>
              <w:numPr>
                <w:ilvl w:val="0"/>
                <w:numId w:val="1"/>
              </w:numPr>
              <w:spacing w:line="276" w:lineRule="auto"/>
              <w:jc w:val="both"/>
              <w:rPr>
                <w:rFonts w:ascii="Arial" w:eastAsia="Arial" w:hAnsi="Arial" w:cs="Arial"/>
                <w:color w:val="000000"/>
                <w:spacing w:val="-2"/>
                <w:sz w:val="22"/>
                <w:szCs w:val="22"/>
              </w:rPr>
            </w:pPr>
            <w:r w:rsidRPr="00262C36">
              <w:rPr>
                <w:rFonts w:ascii="Arial" w:eastAsia="Arial" w:hAnsi="Arial" w:cs="Arial"/>
                <w:spacing w:val="-2"/>
                <w:sz w:val="22"/>
                <w:szCs w:val="22"/>
              </w:rPr>
              <w:t xml:space="preserve">jakým způsobem jsou připravování vedoucí pracovníci na rizika stresu a syndromu vyhoření u svých podřízených. </w:t>
            </w:r>
          </w:p>
        </w:tc>
      </w:tr>
      <w:tr w:rsidR="000D4F92" w14:paraId="54D04382" w14:textId="77777777" w:rsidTr="00262C36">
        <w:trPr>
          <w:trHeight w:hRule="exact" w:val="653"/>
        </w:trPr>
        <w:tc>
          <w:tcPr>
            <w:tcW w:w="3725" w:type="dxa"/>
            <w:shd w:val="clear" w:color="auto" w:fill="auto"/>
          </w:tcPr>
          <w:p w14:paraId="49037446" w14:textId="77777777" w:rsidR="000D4F92" w:rsidRDefault="00000000">
            <w:pPr>
              <w:spacing w:line="232" w:lineRule="auto"/>
              <w:rPr>
                <w:rFonts w:ascii="Arial" w:eastAsia="Arial" w:hAnsi="Arial" w:cs="Arial"/>
                <w:color w:val="000000"/>
                <w:spacing w:val="-2"/>
                <w:sz w:val="24"/>
              </w:rPr>
            </w:pPr>
            <w:r>
              <w:rPr>
                <w:rFonts w:ascii="Arial" w:eastAsia="Arial" w:hAnsi="Arial" w:cs="Arial"/>
                <w:b/>
                <w:spacing w:val="-2"/>
                <w:sz w:val="28"/>
                <w:szCs w:val="28"/>
                <w:u w:val="single"/>
              </w:rPr>
              <w:t>Odpověď:</w:t>
            </w:r>
          </w:p>
        </w:tc>
        <w:tc>
          <w:tcPr>
            <w:tcW w:w="6992" w:type="dxa"/>
          </w:tcPr>
          <w:p w14:paraId="24907474" w14:textId="77777777" w:rsidR="000D4F92" w:rsidRDefault="000D4F92"/>
        </w:tc>
      </w:tr>
    </w:tbl>
    <w:p w14:paraId="64962EAF" w14:textId="77777777" w:rsidR="00000000" w:rsidRDefault="00000000"/>
    <w:p w14:paraId="48EC0F5C" w14:textId="77777777" w:rsidR="00262C36" w:rsidRDefault="00262C36"/>
    <w:p w14:paraId="54479ECC" w14:textId="77777777" w:rsidR="00262C36" w:rsidRDefault="00262C36"/>
    <w:p w14:paraId="10CF895E" w14:textId="6F7C509C" w:rsidR="00262C36" w:rsidRPr="00262C36" w:rsidRDefault="00262C36" w:rsidP="00262C36">
      <w:pPr>
        <w:spacing w:after="240" w:line="276" w:lineRule="auto"/>
        <w:jc w:val="both"/>
        <w:rPr>
          <w:rFonts w:ascii="Arial" w:hAnsi="Arial" w:cs="Arial"/>
          <w:sz w:val="22"/>
          <w:szCs w:val="22"/>
        </w:rPr>
      </w:pPr>
      <w:r>
        <w:rPr>
          <w:rFonts w:ascii="Arial" w:hAnsi="Arial" w:cs="Arial"/>
          <w:sz w:val="22"/>
          <w:szCs w:val="22"/>
        </w:rPr>
        <w:t xml:space="preserve">Ad </w:t>
      </w:r>
      <w:r w:rsidRPr="00262C36">
        <w:rPr>
          <w:rFonts w:ascii="Arial" w:hAnsi="Arial" w:cs="Arial"/>
          <w:sz w:val="22"/>
          <w:szCs w:val="22"/>
        </w:rPr>
        <w:t>1. Ano, Odbor vzdělávání Generálního finančního ředitelství (GFŘ) se této oblasti věnuje prostřednictvím vzdělávacích aktivit zaměřených na prevenci stresu a syndromu vyhoření. Nabídka těchto školení se postupně rozšiřuje.</w:t>
      </w:r>
    </w:p>
    <w:p w14:paraId="04D595BF" w14:textId="44A62469" w:rsidR="00262C36" w:rsidRPr="00262C36" w:rsidRDefault="00262C36" w:rsidP="00262C36">
      <w:pPr>
        <w:spacing w:after="240" w:line="276" w:lineRule="auto"/>
        <w:jc w:val="both"/>
        <w:rPr>
          <w:rFonts w:ascii="Arial" w:hAnsi="Arial" w:cs="Arial"/>
          <w:sz w:val="22"/>
          <w:szCs w:val="22"/>
        </w:rPr>
      </w:pPr>
      <w:r>
        <w:rPr>
          <w:rFonts w:ascii="Arial" w:hAnsi="Arial" w:cs="Arial"/>
          <w:sz w:val="22"/>
          <w:szCs w:val="22"/>
        </w:rPr>
        <w:t xml:space="preserve">Ad </w:t>
      </w:r>
      <w:r w:rsidRPr="00262C36">
        <w:rPr>
          <w:rFonts w:ascii="Arial" w:hAnsi="Arial" w:cs="Arial"/>
          <w:sz w:val="22"/>
          <w:szCs w:val="22"/>
        </w:rPr>
        <w:t>2. Psychologická podpora není poskytována plošně, ale v případech napadení zaměstnanců ze strany třetích osob (např. při výkonu správy daní). V těchto situacích je možné využít:</w:t>
      </w:r>
    </w:p>
    <w:p w14:paraId="10DE8104" w14:textId="77777777" w:rsidR="00262C36" w:rsidRPr="00262C36" w:rsidRDefault="00262C36" w:rsidP="00262C36">
      <w:pPr>
        <w:pStyle w:val="Odstavecseseznamem"/>
        <w:numPr>
          <w:ilvl w:val="0"/>
          <w:numId w:val="3"/>
        </w:numPr>
        <w:spacing w:after="240" w:line="276" w:lineRule="auto"/>
        <w:jc w:val="both"/>
        <w:rPr>
          <w:rFonts w:ascii="Arial" w:hAnsi="Arial" w:cs="Arial"/>
          <w:sz w:val="22"/>
          <w:szCs w:val="22"/>
        </w:rPr>
      </w:pPr>
      <w:r w:rsidRPr="00262C36">
        <w:rPr>
          <w:rFonts w:ascii="Arial" w:hAnsi="Arial" w:cs="Arial"/>
          <w:b/>
          <w:bCs/>
          <w:sz w:val="22"/>
          <w:szCs w:val="22"/>
        </w:rPr>
        <w:t>Interní právní pomoc</w:t>
      </w:r>
      <w:r w:rsidRPr="00262C36">
        <w:rPr>
          <w:rFonts w:ascii="Arial" w:hAnsi="Arial" w:cs="Arial"/>
          <w:sz w:val="22"/>
          <w:szCs w:val="22"/>
        </w:rPr>
        <w:t xml:space="preserve"> – telefonická či osobní konzultace,</w:t>
      </w:r>
    </w:p>
    <w:p w14:paraId="43083043" w14:textId="77777777" w:rsidR="00262C36" w:rsidRPr="00262C36" w:rsidRDefault="00262C36" w:rsidP="00262C36">
      <w:pPr>
        <w:pStyle w:val="Odstavecseseznamem"/>
        <w:numPr>
          <w:ilvl w:val="0"/>
          <w:numId w:val="3"/>
        </w:numPr>
        <w:spacing w:after="240" w:line="276" w:lineRule="auto"/>
        <w:jc w:val="both"/>
        <w:rPr>
          <w:rFonts w:ascii="Arial" w:hAnsi="Arial" w:cs="Arial"/>
          <w:sz w:val="22"/>
          <w:szCs w:val="22"/>
        </w:rPr>
      </w:pPr>
      <w:r w:rsidRPr="00262C36">
        <w:rPr>
          <w:rFonts w:ascii="Arial" w:hAnsi="Arial" w:cs="Arial"/>
          <w:b/>
          <w:bCs/>
          <w:sz w:val="22"/>
          <w:szCs w:val="22"/>
        </w:rPr>
        <w:t>Externí psychologickou</w:t>
      </w:r>
      <w:r w:rsidRPr="00262C36">
        <w:rPr>
          <w:rFonts w:ascii="Arial" w:hAnsi="Arial" w:cs="Arial"/>
          <w:sz w:val="22"/>
          <w:szCs w:val="22"/>
        </w:rPr>
        <w:t xml:space="preserve"> pomoc ve spolupráci s Celní správou ČR,</w:t>
      </w:r>
    </w:p>
    <w:p w14:paraId="2C304635" w14:textId="18629CBB" w:rsidR="00262C36" w:rsidRPr="00262C36" w:rsidRDefault="00262C36" w:rsidP="00262C36">
      <w:pPr>
        <w:pStyle w:val="Odstavecseseznamem"/>
        <w:numPr>
          <w:ilvl w:val="0"/>
          <w:numId w:val="3"/>
        </w:numPr>
        <w:spacing w:after="240" w:line="276" w:lineRule="auto"/>
        <w:jc w:val="both"/>
        <w:rPr>
          <w:rFonts w:ascii="Arial" w:hAnsi="Arial" w:cs="Arial"/>
          <w:sz w:val="22"/>
          <w:szCs w:val="22"/>
        </w:rPr>
      </w:pPr>
      <w:r w:rsidRPr="00262C36">
        <w:rPr>
          <w:rFonts w:ascii="Arial" w:hAnsi="Arial" w:cs="Arial"/>
          <w:b/>
          <w:bCs/>
          <w:sz w:val="22"/>
          <w:szCs w:val="22"/>
        </w:rPr>
        <w:t>Externí právní pomoc</w:t>
      </w:r>
      <w:r w:rsidRPr="00262C36">
        <w:rPr>
          <w:rFonts w:ascii="Arial" w:hAnsi="Arial" w:cs="Arial"/>
          <w:sz w:val="22"/>
          <w:szCs w:val="22"/>
        </w:rPr>
        <w:t xml:space="preserve"> – v odůvodněných případech, refundace nákladů na právní zastoupení dle §</w:t>
      </w:r>
      <w:r>
        <w:rPr>
          <w:rFonts w:ascii="Arial" w:hAnsi="Arial" w:cs="Arial"/>
          <w:sz w:val="22"/>
          <w:szCs w:val="22"/>
        </w:rPr>
        <w:t> </w:t>
      </w:r>
      <w:r w:rsidRPr="00262C36">
        <w:rPr>
          <w:rFonts w:ascii="Arial" w:hAnsi="Arial" w:cs="Arial"/>
          <w:sz w:val="22"/>
          <w:szCs w:val="22"/>
        </w:rPr>
        <w:t>16a zákona č. 456/2011 Sb.</w:t>
      </w:r>
    </w:p>
    <w:p w14:paraId="5302228A" w14:textId="751235BF" w:rsidR="00262C36" w:rsidRPr="00262C36" w:rsidRDefault="00262C36" w:rsidP="00262C36">
      <w:pPr>
        <w:spacing w:after="240" w:line="276" w:lineRule="auto"/>
        <w:jc w:val="both"/>
        <w:rPr>
          <w:rFonts w:ascii="Arial" w:hAnsi="Arial" w:cs="Arial"/>
          <w:sz w:val="22"/>
          <w:szCs w:val="22"/>
        </w:rPr>
      </w:pPr>
      <w:r>
        <w:rPr>
          <w:rFonts w:ascii="Arial" w:hAnsi="Arial" w:cs="Arial"/>
          <w:sz w:val="22"/>
          <w:szCs w:val="22"/>
        </w:rPr>
        <w:t xml:space="preserve">Ad </w:t>
      </w:r>
      <w:r w:rsidRPr="00262C36">
        <w:rPr>
          <w:rFonts w:ascii="Arial" w:hAnsi="Arial" w:cs="Arial"/>
          <w:sz w:val="22"/>
          <w:szCs w:val="22"/>
        </w:rPr>
        <w:t>3. Ano, školení v této oblasti jsou součástí nabídky vzdělávacích aktivit GFŘ a jsou postupně rozšiřována.</w:t>
      </w:r>
    </w:p>
    <w:p w14:paraId="13F3E652" w14:textId="0FAB2ECB" w:rsidR="00262C36" w:rsidRPr="00262C36" w:rsidRDefault="00262C36" w:rsidP="00262C36">
      <w:pPr>
        <w:spacing w:after="240" w:line="276" w:lineRule="auto"/>
        <w:jc w:val="both"/>
        <w:rPr>
          <w:rFonts w:ascii="Arial" w:hAnsi="Arial" w:cs="Arial"/>
          <w:sz w:val="22"/>
          <w:szCs w:val="22"/>
        </w:rPr>
      </w:pPr>
      <w:r>
        <w:rPr>
          <w:rFonts w:ascii="Arial" w:hAnsi="Arial" w:cs="Arial"/>
          <w:sz w:val="22"/>
          <w:szCs w:val="22"/>
        </w:rPr>
        <w:t xml:space="preserve">Ad </w:t>
      </w:r>
      <w:r w:rsidRPr="00262C36">
        <w:rPr>
          <w:rFonts w:ascii="Arial" w:hAnsi="Arial" w:cs="Arial"/>
          <w:sz w:val="22"/>
          <w:szCs w:val="22"/>
        </w:rPr>
        <w:t>4. Zaměstnanci mohou využít následující nástroje:</w:t>
      </w:r>
    </w:p>
    <w:p w14:paraId="33095F2B" w14:textId="77777777" w:rsidR="00262C36" w:rsidRDefault="00262C36" w:rsidP="00262C36">
      <w:pPr>
        <w:pStyle w:val="Odstavecseseznamem"/>
        <w:numPr>
          <w:ilvl w:val="0"/>
          <w:numId w:val="4"/>
        </w:numPr>
        <w:spacing w:after="240" w:line="276" w:lineRule="auto"/>
        <w:jc w:val="both"/>
        <w:rPr>
          <w:rFonts w:ascii="Arial" w:hAnsi="Arial" w:cs="Arial"/>
          <w:sz w:val="22"/>
          <w:szCs w:val="22"/>
        </w:rPr>
      </w:pPr>
      <w:r w:rsidRPr="00262C36">
        <w:rPr>
          <w:rFonts w:ascii="Arial" w:hAnsi="Arial" w:cs="Arial"/>
          <w:sz w:val="22"/>
          <w:szCs w:val="22"/>
        </w:rPr>
        <w:t xml:space="preserve">Pružná služební/pracovní doba – umožňuje zaměstnancům přizpůsobit si začátek a konec pracovní doby podle osobních potřeb, s povinností být na pracovišti v základním časovém úseku (Po–Čt 9:00–13:00, Pá 9:00–12:00). Tím se zvyšuje možnost sladit pracovní povinnosti s rodinnými či osobními závazky. </w:t>
      </w:r>
    </w:p>
    <w:p w14:paraId="2B098A54" w14:textId="77777777" w:rsidR="00262C36" w:rsidRDefault="00262C36" w:rsidP="00262C36">
      <w:pPr>
        <w:pStyle w:val="Odstavecseseznamem"/>
        <w:numPr>
          <w:ilvl w:val="0"/>
          <w:numId w:val="4"/>
        </w:numPr>
        <w:spacing w:after="240" w:line="276" w:lineRule="auto"/>
        <w:jc w:val="both"/>
        <w:rPr>
          <w:rFonts w:ascii="Arial" w:hAnsi="Arial" w:cs="Arial"/>
          <w:sz w:val="22"/>
          <w:szCs w:val="22"/>
        </w:rPr>
      </w:pPr>
      <w:r w:rsidRPr="00262C36">
        <w:rPr>
          <w:rFonts w:ascii="Arial" w:hAnsi="Arial" w:cs="Arial"/>
          <w:sz w:val="22"/>
          <w:szCs w:val="22"/>
        </w:rPr>
        <w:t xml:space="preserve">Saldo plus (napracované hodiny jako celodenní volno) – zaměstnanci si mohou napracovat hodiny a následně čerpat až dvakrát měsíčně celodenní volno. Ročně lze takto získat až 24 dnů volna navíc, což výrazně podporuje flexibilitu a regeneraci. Individuální rozvržení pracovní doby – na žádost zaměstnance může být pracovní doba upravena např. ze zdravotních důvodů nebo kvůli péči o děti. Umožňuje to lépe přizpůsobit pracovní režim aktuální životní situaci. </w:t>
      </w:r>
    </w:p>
    <w:p w14:paraId="020784E3" w14:textId="77777777" w:rsidR="00262C36" w:rsidRDefault="00262C36" w:rsidP="00262C36">
      <w:pPr>
        <w:pStyle w:val="Odstavecseseznamem"/>
        <w:numPr>
          <w:ilvl w:val="0"/>
          <w:numId w:val="4"/>
        </w:numPr>
        <w:spacing w:after="240" w:line="276" w:lineRule="auto"/>
        <w:jc w:val="both"/>
        <w:rPr>
          <w:rFonts w:ascii="Arial" w:hAnsi="Arial" w:cs="Arial"/>
          <w:sz w:val="22"/>
          <w:szCs w:val="22"/>
        </w:rPr>
      </w:pPr>
      <w:r w:rsidRPr="00262C36">
        <w:rPr>
          <w:rFonts w:ascii="Arial" w:hAnsi="Arial" w:cs="Arial"/>
          <w:sz w:val="22"/>
          <w:szCs w:val="22"/>
        </w:rPr>
        <w:t xml:space="preserve">Kratší pracovní úvazek – nejčastěji využíván zaměstnankyněmi po návratu z rodičovské dovolené nebo ze zdravotních důvodů. Pomáhá zaměstnancům postupně se vracet do pracovního procesu bez nadměrného zatížení. </w:t>
      </w:r>
    </w:p>
    <w:p w14:paraId="08D3C391" w14:textId="77777777" w:rsidR="00262C36" w:rsidRDefault="00262C36" w:rsidP="00262C36">
      <w:pPr>
        <w:pStyle w:val="Odstavecseseznamem"/>
        <w:numPr>
          <w:ilvl w:val="0"/>
          <w:numId w:val="4"/>
        </w:numPr>
        <w:spacing w:after="240" w:line="276" w:lineRule="auto"/>
        <w:jc w:val="both"/>
        <w:rPr>
          <w:rFonts w:ascii="Arial" w:hAnsi="Arial" w:cs="Arial"/>
          <w:sz w:val="22"/>
          <w:szCs w:val="22"/>
        </w:rPr>
      </w:pPr>
      <w:proofErr w:type="spellStart"/>
      <w:r w:rsidRPr="00262C36">
        <w:rPr>
          <w:rFonts w:ascii="Arial" w:hAnsi="Arial" w:cs="Arial"/>
          <w:sz w:val="22"/>
          <w:szCs w:val="22"/>
        </w:rPr>
        <w:t>Home</w:t>
      </w:r>
      <w:proofErr w:type="spellEnd"/>
      <w:r w:rsidRPr="00262C36">
        <w:rPr>
          <w:rFonts w:ascii="Arial" w:hAnsi="Arial" w:cs="Arial"/>
          <w:sz w:val="22"/>
          <w:szCs w:val="22"/>
        </w:rPr>
        <w:t xml:space="preserve"> office / výkon práce z jiného místa – umožňuje zaměstnancům pracovat z domova nebo z jiného pracoviště blíže bydlišti, zejména v případech rekonvalescence nebo jiných osobních důvodů. Tím se snižuje stres spojený s dojížděním a zvyšuje komfort práce. </w:t>
      </w:r>
    </w:p>
    <w:p w14:paraId="56EFA626" w14:textId="77777777" w:rsidR="00262C36" w:rsidRDefault="00262C36" w:rsidP="00262C36">
      <w:pPr>
        <w:pStyle w:val="Odstavecseseznamem"/>
        <w:numPr>
          <w:ilvl w:val="0"/>
          <w:numId w:val="4"/>
        </w:numPr>
        <w:spacing w:after="240" w:line="276" w:lineRule="auto"/>
        <w:jc w:val="both"/>
        <w:rPr>
          <w:rFonts w:ascii="Arial" w:hAnsi="Arial" w:cs="Arial"/>
          <w:sz w:val="22"/>
          <w:szCs w:val="22"/>
        </w:rPr>
      </w:pPr>
      <w:r w:rsidRPr="00262C36">
        <w:rPr>
          <w:rFonts w:ascii="Arial" w:hAnsi="Arial" w:cs="Arial"/>
          <w:sz w:val="22"/>
          <w:szCs w:val="22"/>
        </w:rPr>
        <w:t xml:space="preserve">Indispoziční volno (5 dnů ročně) – poskytováno bez nutnosti dokládání důvodu, slouží k řešení osobních záležitostí, které nelze předem plánovat. Pomáhá zaměstnancům zvládat nečekané životní situace bez negativního dopadu na pracovní výkon. </w:t>
      </w:r>
    </w:p>
    <w:p w14:paraId="0ED797A2" w14:textId="3F025124" w:rsidR="00262C36" w:rsidRPr="00262C36" w:rsidRDefault="00262C36" w:rsidP="00262C36">
      <w:pPr>
        <w:spacing w:after="240" w:line="276" w:lineRule="auto"/>
        <w:jc w:val="both"/>
        <w:rPr>
          <w:rFonts w:ascii="Arial" w:hAnsi="Arial" w:cs="Arial"/>
          <w:sz w:val="22"/>
          <w:szCs w:val="22"/>
        </w:rPr>
      </w:pPr>
      <w:r w:rsidRPr="00262C36">
        <w:rPr>
          <w:rFonts w:ascii="Arial" w:hAnsi="Arial" w:cs="Arial"/>
          <w:sz w:val="22"/>
          <w:szCs w:val="22"/>
        </w:rPr>
        <w:lastRenderedPageBreak/>
        <w:t>Tyto nástroje společně vytvářejí prostředí, které podporuje zdravou rovnováhu mezi prací a osobním životem, a tím přispívají k prevenci stresu a syndromu vyhoření.</w:t>
      </w:r>
    </w:p>
    <w:p w14:paraId="6E005939" w14:textId="0FD6AD49" w:rsidR="00262C36" w:rsidRPr="00262C36" w:rsidRDefault="00262C36" w:rsidP="00262C36">
      <w:pPr>
        <w:spacing w:after="240" w:line="276" w:lineRule="auto"/>
        <w:jc w:val="both"/>
        <w:rPr>
          <w:rFonts w:ascii="Arial" w:hAnsi="Arial" w:cs="Arial"/>
          <w:sz w:val="22"/>
          <w:szCs w:val="22"/>
        </w:rPr>
      </w:pPr>
      <w:r>
        <w:rPr>
          <w:rFonts w:ascii="Arial" w:hAnsi="Arial" w:cs="Arial"/>
          <w:sz w:val="22"/>
          <w:szCs w:val="22"/>
        </w:rPr>
        <w:t>Ad 5.</w:t>
      </w:r>
      <w:r w:rsidRPr="00262C36">
        <w:rPr>
          <w:rFonts w:ascii="Arial" w:hAnsi="Arial" w:cs="Arial"/>
          <w:sz w:val="22"/>
          <w:szCs w:val="22"/>
        </w:rPr>
        <w:t xml:space="preserve"> Ano, na základě rozhodnutí generálního ředitele probíhá každoročně plošné anonymní šetření spokojenosti zaměstnanců Finanční správy ČR formou elektronického dotazníku. Výsledky těchto šetření slouží jako podklad pro návrh konkrétních opatření ke zlepšení pracovních podmínek, například úpravám rozvržení pracovní doby nebo rozšíření benefitů.</w:t>
      </w:r>
    </w:p>
    <w:p w14:paraId="1E6BC589" w14:textId="77777777" w:rsidR="00262C36" w:rsidRPr="00262C36" w:rsidRDefault="00262C36" w:rsidP="00262C36">
      <w:pPr>
        <w:spacing w:after="240" w:line="276" w:lineRule="auto"/>
        <w:jc w:val="both"/>
        <w:rPr>
          <w:rFonts w:ascii="Arial" w:hAnsi="Arial" w:cs="Arial"/>
          <w:sz w:val="22"/>
          <w:szCs w:val="22"/>
        </w:rPr>
      </w:pPr>
      <w:r w:rsidRPr="00262C36">
        <w:rPr>
          <w:rFonts w:ascii="Arial" w:hAnsi="Arial" w:cs="Arial"/>
          <w:sz w:val="22"/>
          <w:szCs w:val="22"/>
        </w:rPr>
        <w:t>Kromě celoplošného šetření jsou realizována i dílčí dotazníková šetření, zaměřená například na spokojenost s konkrétními benefity (např. letní dětský tábor), vzdělávacími akcemi nebo změnami v organizaci práce. Získaná data jsou analyzována a předávána příslušným útvarům, které na jejich základě navrhují a realizují úpravy v oblasti řízení lidských zdrojů, pracovního prostředí či vzdělávání.</w:t>
      </w:r>
    </w:p>
    <w:p w14:paraId="57DEA62C" w14:textId="0DB6EFE5" w:rsidR="00262C36" w:rsidRPr="00262C36" w:rsidRDefault="00262C36" w:rsidP="00262C36">
      <w:pPr>
        <w:spacing w:after="240" w:line="276" w:lineRule="auto"/>
        <w:jc w:val="both"/>
        <w:rPr>
          <w:rFonts w:ascii="Arial" w:hAnsi="Arial" w:cs="Arial"/>
          <w:sz w:val="22"/>
          <w:szCs w:val="22"/>
        </w:rPr>
      </w:pPr>
      <w:r>
        <w:rPr>
          <w:rFonts w:ascii="Arial" w:hAnsi="Arial" w:cs="Arial"/>
          <w:sz w:val="22"/>
          <w:szCs w:val="22"/>
        </w:rPr>
        <w:t xml:space="preserve">Ad </w:t>
      </w:r>
      <w:r w:rsidRPr="00262C36">
        <w:rPr>
          <w:rFonts w:ascii="Arial" w:hAnsi="Arial" w:cs="Arial"/>
          <w:sz w:val="22"/>
          <w:szCs w:val="22"/>
        </w:rPr>
        <w:t>6. Zaměstnanci Finanční správy mohou využívat zejména následující benefity a volnočasové aktivity:</w:t>
      </w:r>
    </w:p>
    <w:p w14:paraId="1399C5AC" w14:textId="5419A49D" w:rsidR="00262C36" w:rsidRPr="00262C36" w:rsidRDefault="00262C36" w:rsidP="00262C36">
      <w:pPr>
        <w:pStyle w:val="Odstavecseseznamem"/>
        <w:numPr>
          <w:ilvl w:val="0"/>
          <w:numId w:val="6"/>
        </w:numPr>
        <w:spacing w:after="240" w:line="276" w:lineRule="auto"/>
        <w:jc w:val="both"/>
        <w:rPr>
          <w:rFonts w:ascii="Arial" w:hAnsi="Arial" w:cs="Arial"/>
          <w:sz w:val="22"/>
          <w:szCs w:val="22"/>
        </w:rPr>
      </w:pPr>
      <w:r w:rsidRPr="00262C36">
        <w:rPr>
          <w:rFonts w:ascii="Arial" w:hAnsi="Arial" w:cs="Arial"/>
          <w:sz w:val="22"/>
          <w:szCs w:val="22"/>
        </w:rPr>
        <w:t>5 dní indispozičního volna,</w:t>
      </w:r>
    </w:p>
    <w:p w14:paraId="0D41093D" w14:textId="665089E0" w:rsidR="00262C36" w:rsidRPr="00262C36" w:rsidRDefault="00262C36" w:rsidP="00262C36">
      <w:pPr>
        <w:pStyle w:val="Odstavecseseznamem"/>
        <w:numPr>
          <w:ilvl w:val="0"/>
          <w:numId w:val="6"/>
        </w:numPr>
        <w:spacing w:after="240" w:line="276" w:lineRule="auto"/>
        <w:jc w:val="both"/>
        <w:rPr>
          <w:rFonts w:ascii="Arial" w:hAnsi="Arial" w:cs="Arial"/>
          <w:sz w:val="22"/>
          <w:szCs w:val="22"/>
        </w:rPr>
      </w:pPr>
      <w:r w:rsidRPr="00262C36">
        <w:rPr>
          <w:rFonts w:ascii="Arial" w:hAnsi="Arial" w:cs="Arial"/>
          <w:sz w:val="22"/>
          <w:szCs w:val="22"/>
        </w:rPr>
        <w:t>pružné rozvržení služební/pracovní doby,</w:t>
      </w:r>
    </w:p>
    <w:p w14:paraId="130C3404" w14:textId="0383A048" w:rsidR="00262C36" w:rsidRPr="00262C36" w:rsidRDefault="00262C36" w:rsidP="00262C36">
      <w:pPr>
        <w:pStyle w:val="Odstavecseseznamem"/>
        <w:numPr>
          <w:ilvl w:val="0"/>
          <w:numId w:val="6"/>
        </w:numPr>
        <w:spacing w:after="240" w:line="276" w:lineRule="auto"/>
        <w:jc w:val="both"/>
        <w:rPr>
          <w:rFonts w:ascii="Arial" w:hAnsi="Arial" w:cs="Arial"/>
          <w:sz w:val="22"/>
          <w:szCs w:val="22"/>
        </w:rPr>
      </w:pPr>
      <w:r w:rsidRPr="00262C36">
        <w:rPr>
          <w:rFonts w:ascii="Arial" w:hAnsi="Arial" w:cs="Arial"/>
          <w:sz w:val="22"/>
          <w:szCs w:val="22"/>
        </w:rPr>
        <w:t>25 dní dovolené,</w:t>
      </w:r>
    </w:p>
    <w:p w14:paraId="56344289" w14:textId="77C29115" w:rsidR="00262C36" w:rsidRPr="00262C36" w:rsidRDefault="00262C36" w:rsidP="00262C36">
      <w:pPr>
        <w:pStyle w:val="Odstavecseseznamem"/>
        <w:numPr>
          <w:ilvl w:val="0"/>
          <w:numId w:val="6"/>
        </w:numPr>
        <w:spacing w:after="240" w:line="276" w:lineRule="auto"/>
        <w:jc w:val="both"/>
        <w:rPr>
          <w:rFonts w:ascii="Arial" w:hAnsi="Arial" w:cs="Arial"/>
          <w:sz w:val="22"/>
          <w:szCs w:val="22"/>
        </w:rPr>
      </w:pPr>
      <w:r w:rsidRPr="00262C36">
        <w:rPr>
          <w:rFonts w:ascii="Arial" w:hAnsi="Arial" w:cs="Arial"/>
          <w:sz w:val="22"/>
          <w:szCs w:val="22"/>
        </w:rPr>
        <w:t>možnost čerpání napracovaných hodin formou celodenního volna (saldo plus),</w:t>
      </w:r>
    </w:p>
    <w:p w14:paraId="2DE96DBE" w14:textId="27321AB5" w:rsidR="00262C36" w:rsidRPr="00262C36" w:rsidRDefault="00262C36" w:rsidP="00262C36">
      <w:pPr>
        <w:pStyle w:val="Odstavecseseznamem"/>
        <w:numPr>
          <w:ilvl w:val="0"/>
          <w:numId w:val="6"/>
        </w:numPr>
        <w:spacing w:after="240" w:line="276" w:lineRule="auto"/>
        <w:jc w:val="both"/>
        <w:rPr>
          <w:rFonts w:ascii="Arial" w:hAnsi="Arial" w:cs="Arial"/>
          <w:sz w:val="22"/>
          <w:szCs w:val="22"/>
        </w:rPr>
      </w:pPr>
      <w:r w:rsidRPr="00262C36">
        <w:rPr>
          <w:rFonts w:ascii="Arial" w:hAnsi="Arial" w:cs="Arial"/>
          <w:sz w:val="22"/>
          <w:szCs w:val="22"/>
        </w:rPr>
        <w:t>1 den placeného volna k zařízení osobních záležitostí,</w:t>
      </w:r>
    </w:p>
    <w:p w14:paraId="6F23E20B" w14:textId="69657631" w:rsidR="00262C36" w:rsidRPr="00262C36" w:rsidRDefault="00262C36" w:rsidP="00262C36">
      <w:pPr>
        <w:pStyle w:val="Odstavecseseznamem"/>
        <w:numPr>
          <w:ilvl w:val="0"/>
          <w:numId w:val="6"/>
        </w:numPr>
        <w:spacing w:after="240" w:line="276" w:lineRule="auto"/>
        <w:jc w:val="both"/>
        <w:rPr>
          <w:rFonts w:ascii="Arial" w:hAnsi="Arial" w:cs="Arial"/>
          <w:sz w:val="22"/>
          <w:szCs w:val="22"/>
        </w:rPr>
      </w:pPr>
      <w:r w:rsidRPr="00262C36">
        <w:rPr>
          <w:rFonts w:ascii="Arial" w:hAnsi="Arial" w:cs="Arial"/>
          <w:sz w:val="22"/>
          <w:szCs w:val="22"/>
        </w:rPr>
        <w:t>možnost výkonu služby/práce na kratší úvazek,</w:t>
      </w:r>
    </w:p>
    <w:p w14:paraId="4EA3BFE6" w14:textId="5B9CFD56" w:rsidR="00262C36" w:rsidRPr="00262C36" w:rsidRDefault="00262C36" w:rsidP="00262C36">
      <w:pPr>
        <w:pStyle w:val="Odstavecseseznamem"/>
        <w:numPr>
          <w:ilvl w:val="0"/>
          <w:numId w:val="6"/>
        </w:numPr>
        <w:spacing w:after="240" w:line="276" w:lineRule="auto"/>
        <w:jc w:val="both"/>
        <w:rPr>
          <w:rFonts w:ascii="Arial" w:hAnsi="Arial" w:cs="Arial"/>
          <w:sz w:val="22"/>
          <w:szCs w:val="22"/>
        </w:rPr>
      </w:pPr>
      <w:r w:rsidRPr="00262C36">
        <w:rPr>
          <w:rFonts w:ascii="Arial" w:hAnsi="Arial" w:cs="Arial"/>
          <w:sz w:val="22"/>
          <w:szCs w:val="22"/>
        </w:rPr>
        <w:t>v odůvodněných případech výkon služby/práce z jiného místa (např. blíže bydlišti),</w:t>
      </w:r>
    </w:p>
    <w:p w14:paraId="7B05B6CA" w14:textId="19C004B7" w:rsidR="00262C36" w:rsidRPr="00262C36" w:rsidRDefault="00262C36" w:rsidP="00262C36">
      <w:pPr>
        <w:pStyle w:val="Odstavecseseznamem"/>
        <w:numPr>
          <w:ilvl w:val="0"/>
          <w:numId w:val="6"/>
        </w:numPr>
        <w:spacing w:after="240" w:line="276" w:lineRule="auto"/>
        <w:jc w:val="both"/>
        <w:rPr>
          <w:rFonts w:ascii="Arial" w:hAnsi="Arial" w:cs="Arial"/>
          <w:sz w:val="22"/>
          <w:szCs w:val="22"/>
        </w:rPr>
      </w:pPr>
      <w:r w:rsidRPr="00262C36">
        <w:rPr>
          <w:rFonts w:ascii="Arial" w:hAnsi="Arial" w:cs="Arial"/>
          <w:sz w:val="22"/>
          <w:szCs w:val="22"/>
        </w:rPr>
        <w:t>až 5 dnů služebního volna k individuálním studijním účelům,</w:t>
      </w:r>
    </w:p>
    <w:p w14:paraId="2542543A" w14:textId="32C8248D" w:rsidR="00262C36" w:rsidRPr="00262C36" w:rsidRDefault="00262C36" w:rsidP="00262C36">
      <w:pPr>
        <w:pStyle w:val="Odstavecseseznamem"/>
        <w:numPr>
          <w:ilvl w:val="0"/>
          <w:numId w:val="6"/>
        </w:numPr>
        <w:spacing w:after="240" w:line="276" w:lineRule="auto"/>
        <w:jc w:val="both"/>
        <w:rPr>
          <w:rFonts w:ascii="Arial" w:hAnsi="Arial" w:cs="Arial"/>
          <w:sz w:val="22"/>
          <w:szCs w:val="22"/>
        </w:rPr>
      </w:pPr>
      <w:r w:rsidRPr="00262C36">
        <w:rPr>
          <w:rFonts w:ascii="Arial" w:hAnsi="Arial" w:cs="Arial"/>
          <w:sz w:val="22"/>
          <w:szCs w:val="22"/>
        </w:rPr>
        <w:t xml:space="preserve">individuální příspěvek z FKSP (např. na produkty spoření na stáří v systému </w:t>
      </w:r>
      <w:proofErr w:type="spellStart"/>
      <w:r w:rsidRPr="00262C36">
        <w:rPr>
          <w:rFonts w:ascii="Arial" w:hAnsi="Arial" w:cs="Arial"/>
          <w:sz w:val="22"/>
          <w:szCs w:val="22"/>
        </w:rPr>
        <w:t>Cafeterie</w:t>
      </w:r>
      <w:proofErr w:type="spellEnd"/>
      <w:r w:rsidRPr="00262C36">
        <w:rPr>
          <w:rFonts w:ascii="Arial" w:hAnsi="Arial" w:cs="Arial"/>
          <w:sz w:val="22"/>
          <w:szCs w:val="22"/>
        </w:rPr>
        <w:t>),</w:t>
      </w:r>
    </w:p>
    <w:p w14:paraId="7CA5FDD3" w14:textId="4775D77C" w:rsidR="00262C36" w:rsidRPr="00262C36" w:rsidRDefault="00262C36" w:rsidP="00262C36">
      <w:pPr>
        <w:pStyle w:val="Odstavecseseznamem"/>
        <w:numPr>
          <w:ilvl w:val="0"/>
          <w:numId w:val="6"/>
        </w:numPr>
        <w:spacing w:after="240" w:line="276" w:lineRule="auto"/>
        <w:jc w:val="both"/>
        <w:rPr>
          <w:rFonts w:ascii="Arial" w:hAnsi="Arial" w:cs="Arial"/>
          <w:sz w:val="22"/>
          <w:szCs w:val="22"/>
        </w:rPr>
      </w:pPr>
      <w:r w:rsidRPr="00262C36">
        <w:rPr>
          <w:rFonts w:ascii="Arial" w:hAnsi="Arial" w:cs="Arial"/>
          <w:sz w:val="22"/>
          <w:szCs w:val="22"/>
        </w:rPr>
        <w:t>výhody smluvních partnerů (slevy na vstupenky, vitamíny, očkování, dovolené, cestovní pojištění, parkování, optiky, čerpací stanice a další zboží a služby),</w:t>
      </w:r>
    </w:p>
    <w:p w14:paraId="07076FCE" w14:textId="1513CF70" w:rsidR="00262C36" w:rsidRPr="00262C36" w:rsidRDefault="00262C36" w:rsidP="00262C36">
      <w:pPr>
        <w:pStyle w:val="Odstavecseseznamem"/>
        <w:numPr>
          <w:ilvl w:val="0"/>
          <w:numId w:val="6"/>
        </w:numPr>
        <w:spacing w:after="240" w:line="276" w:lineRule="auto"/>
        <w:jc w:val="both"/>
        <w:rPr>
          <w:rFonts w:ascii="Arial" w:hAnsi="Arial" w:cs="Arial"/>
          <w:sz w:val="22"/>
          <w:szCs w:val="22"/>
        </w:rPr>
      </w:pPr>
      <w:r w:rsidRPr="00262C36">
        <w:rPr>
          <w:rFonts w:ascii="Arial" w:hAnsi="Arial" w:cs="Arial"/>
          <w:sz w:val="22"/>
          <w:szCs w:val="22"/>
        </w:rPr>
        <w:t xml:space="preserve">víceúčelová karta </w:t>
      </w:r>
      <w:proofErr w:type="spellStart"/>
      <w:r w:rsidRPr="00262C36">
        <w:rPr>
          <w:rFonts w:ascii="Arial" w:hAnsi="Arial" w:cs="Arial"/>
          <w:sz w:val="22"/>
          <w:szCs w:val="22"/>
        </w:rPr>
        <w:t>MultiSport</w:t>
      </w:r>
      <w:proofErr w:type="spellEnd"/>
      <w:r w:rsidRPr="00262C36">
        <w:rPr>
          <w:rFonts w:ascii="Arial" w:hAnsi="Arial" w:cs="Arial"/>
          <w:sz w:val="22"/>
          <w:szCs w:val="22"/>
        </w:rPr>
        <w:t>,</w:t>
      </w:r>
    </w:p>
    <w:p w14:paraId="4358F7E5" w14:textId="45AFBA2E" w:rsidR="00262C36" w:rsidRPr="00262C36" w:rsidRDefault="00262C36" w:rsidP="00262C36">
      <w:pPr>
        <w:pStyle w:val="Odstavecseseznamem"/>
        <w:numPr>
          <w:ilvl w:val="0"/>
          <w:numId w:val="6"/>
        </w:numPr>
        <w:spacing w:after="240" w:line="276" w:lineRule="auto"/>
        <w:jc w:val="both"/>
        <w:rPr>
          <w:rFonts w:ascii="Arial" w:hAnsi="Arial" w:cs="Arial"/>
          <w:sz w:val="22"/>
          <w:szCs w:val="22"/>
        </w:rPr>
      </w:pPr>
      <w:r w:rsidRPr="00262C36">
        <w:rPr>
          <w:rFonts w:ascii="Arial" w:hAnsi="Arial" w:cs="Arial"/>
          <w:sz w:val="22"/>
          <w:szCs w:val="22"/>
        </w:rPr>
        <w:t>letní dětský tábor pro děti a vnoučata zaměstnanců FS ČR,</w:t>
      </w:r>
    </w:p>
    <w:p w14:paraId="472ADFA9" w14:textId="70855217" w:rsidR="00262C36" w:rsidRPr="00262C36" w:rsidRDefault="00262C36" w:rsidP="00262C36">
      <w:pPr>
        <w:pStyle w:val="Odstavecseseznamem"/>
        <w:numPr>
          <w:ilvl w:val="0"/>
          <w:numId w:val="6"/>
        </w:numPr>
        <w:spacing w:after="240" w:line="276" w:lineRule="auto"/>
        <w:jc w:val="both"/>
        <w:rPr>
          <w:rFonts w:ascii="Arial" w:hAnsi="Arial" w:cs="Arial"/>
          <w:sz w:val="22"/>
          <w:szCs w:val="22"/>
        </w:rPr>
      </w:pPr>
      <w:r w:rsidRPr="00262C36">
        <w:rPr>
          <w:rFonts w:ascii="Arial" w:hAnsi="Arial" w:cs="Arial"/>
          <w:sz w:val="22"/>
          <w:szCs w:val="22"/>
        </w:rPr>
        <w:t>rekreace ve vlastních rekreačních zařízeních zaměstnavatele,</w:t>
      </w:r>
    </w:p>
    <w:p w14:paraId="52D33D92" w14:textId="5AB6C7D0" w:rsidR="00262C36" w:rsidRPr="00262C36" w:rsidRDefault="00262C36" w:rsidP="00262C36">
      <w:pPr>
        <w:pStyle w:val="Odstavecseseznamem"/>
        <w:numPr>
          <w:ilvl w:val="0"/>
          <w:numId w:val="6"/>
        </w:numPr>
        <w:spacing w:after="240" w:line="276" w:lineRule="auto"/>
        <w:jc w:val="both"/>
        <w:rPr>
          <w:rFonts w:ascii="Arial" w:hAnsi="Arial" w:cs="Arial"/>
          <w:sz w:val="22"/>
          <w:szCs w:val="22"/>
        </w:rPr>
      </w:pPr>
      <w:r w:rsidRPr="00262C36">
        <w:rPr>
          <w:rFonts w:ascii="Arial" w:hAnsi="Arial" w:cs="Arial"/>
          <w:sz w:val="22"/>
          <w:szCs w:val="22"/>
        </w:rPr>
        <w:t>účast na resortních letních sportovních hrách a jiných sportovních akcích pořádaných zaměstnavatelem,</w:t>
      </w:r>
    </w:p>
    <w:p w14:paraId="0CEDE874" w14:textId="08DBDCA8" w:rsidR="00262C36" w:rsidRPr="00262C36" w:rsidRDefault="00262C36" w:rsidP="00262C36">
      <w:pPr>
        <w:pStyle w:val="Odstavecseseznamem"/>
        <w:numPr>
          <w:ilvl w:val="0"/>
          <w:numId w:val="6"/>
        </w:numPr>
        <w:spacing w:after="240" w:line="276" w:lineRule="auto"/>
        <w:jc w:val="both"/>
        <w:rPr>
          <w:rFonts w:ascii="Arial" w:hAnsi="Arial" w:cs="Arial"/>
          <w:sz w:val="22"/>
          <w:szCs w:val="22"/>
        </w:rPr>
      </w:pPr>
      <w:r w:rsidRPr="00262C36">
        <w:rPr>
          <w:rFonts w:ascii="Arial" w:hAnsi="Arial" w:cs="Arial"/>
          <w:sz w:val="22"/>
          <w:szCs w:val="22"/>
        </w:rPr>
        <w:t>využití sportovišť a relaxačních služeb ve vzdělávacích zařízeních zaměstnavatele a v budově GFŘ,</w:t>
      </w:r>
    </w:p>
    <w:p w14:paraId="1DFB5886" w14:textId="11DA9E86" w:rsidR="00262C36" w:rsidRPr="00262C36" w:rsidRDefault="00262C36" w:rsidP="00262C36">
      <w:pPr>
        <w:pStyle w:val="Odstavecseseznamem"/>
        <w:numPr>
          <w:ilvl w:val="0"/>
          <w:numId w:val="6"/>
        </w:numPr>
        <w:spacing w:after="240" w:line="276" w:lineRule="auto"/>
        <w:jc w:val="both"/>
        <w:rPr>
          <w:rFonts w:ascii="Arial" w:hAnsi="Arial" w:cs="Arial"/>
          <w:sz w:val="22"/>
          <w:szCs w:val="22"/>
        </w:rPr>
      </w:pPr>
      <w:r w:rsidRPr="00262C36">
        <w:rPr>
          <w:rFonts w:ascii="Arial" w:hAnsi="Arial" w:cs="Arial"/>
          <w:sz w:val="22"/>
          <w:szCs w:val="22"/>
        </w:rPr>
        <w:t>příspěvek na stravování (</w:t>
      </w:r>
      <w:proofErr w:type="spellStart"/>
      <w:r w:rsidRPr="00262C36">
        <w:rPr>
          <w:rFonts w:ascii="Arial" w:hAnsi="Arial" w:cs="Arial"/>
          <w:sz w:val="22"/>
          <w:szCs w:val="22"/>
        </w:rPr>
        <w:t>stravenková</w:t>
      </w:r>
      <w:proofErr w:type="spellEnd"/>
      <w:r w:rsidRPr="00262C36">
        <w:rPr>
          <w:rFonts w:ascii="Arial" w:hAnsi="Arial" w:cs="Arial"/>
          <w:sz w:val="22"/>
          <w:szCs w:val="22"/>
        </w:rPr>
        <w:t xml:space="preserve"> karta),</w:t>
      </w:r>
    </w:p>
    <w:p w14:paraId="4E7FD0DD" w14:textId="45FDA9FE" w:rsidR="00262C36" w:rsidRPr="00262C36" w:rsidRDefault="00262C36" w:rsidP="00262C36">
      <w:pPr>
        <w:pStyle w:val="Odstavecseseznamem"/>
        <w:numPr>
          <w:ilvl w:val="0"/>
          <w:numId w:val="6"/>
        </w:numPr>
        <w:spacing w:after="240" w:line="276" w:lineRule="auto"/>
        <w:jc w:val="both"/>
        <w:rPr>
          <w:rFonts w:ascii="Arial" w:hAnsi="Arial" w:cs="Arial"/>
          <w:sz w:val="22"/>
          <w:szCs w:val="22"/>
        </w:rPr>
      </w:pPr>
      <w:r w:rsidRPr="00262C36">
        <w:rPr>
          <w:rFonts w:ascii="Arial" w:hAnsi="Arial" w:cs="Arial"/>
          <w:sz w:val="22"/>
          <w:szCs w:val="22"/>
        </w:rPr>
        <w:t>odměny ke služebnímu/pracovnímu výročí, životnímu jubileu a při skončení služebního poměru z důvodu invalidity nebo odchodu do důchodu,</w:t>
      </w:r>
    </w:p>
    <w:p w14:paraId="187C935E" w14:textId="495F28CA" w:rsidR="00262C36" w:rsidRPr="00262C36" w:rsidRDefault="00262C36" w:rsidP="00262C36">
      <w:pPr>
        <w:pStyle w:val="Odstavecseseznamem"/>
        <w:numPr>
          <w:ilvl w:val="0"/>
          <w:numId w:val="6"/>
        </w:numPr>
        <w:spacing w:after="240" w:line="276" w:lineRule="auto"/>
        <w:jc w:val="both"/>
        <w:rPr>
          <w:rFonts w:ascii="Arial" w:hAnsi="Arial" w:cs="Arial"/>
          <w:sz w:val="22"/>
          <w:szCs w:val="22"/>
        </w:rPr>
      </w:pPr>
      <w:r w:rsidRPr="00262C36">
        <w:rPr>
          <w:rFonts w:ascii="Arial" w:hAnsi="Arial" w:cs="Arial"/>
          <w:sz w:val="22"/>
          <w:szCs w:val="22"/>
        </w:rPr>
        <w:t>podpora jazykového vzdělávání.</w:t>
      </w:r>
    </w:p>
    <w:p w14:paraId="4D3D1999" w14:textId="07AA121D" w:rsidR="00262C36" w:rsidRPr="00262C36" w:rsidRDefault="00262C36" w:rsidP="00262C36">
      <w:pPr>
        <w:spacing w:after="240" w:line="276" w:lineRule="auto"/>
        <w:jc w:val="both"/>
        <w:rPr>
          <w:rFonts w:ascii="Arial" w:hAnsi="Arial" w:cs="Arial"/>
          <w:sz w:val="22"/>
          <w:szCs w:val="22"/>
        </w:rPr>
      </w:pPr>
      <w:r>
        <w:rPr>
          <w:rFonts w:ascii="Arial" w:hAnsi="Arial" w:cs="Arial"/>
          <w:sz w:val="22"/>
          <w:szCs w:val="22"/>
        </w:rPr>
        <w:t xml:space="preserve">Ad </w:t>
      </w:r>
      <w:r w:rsidRPr="00262C36">
        <w:rPr>
          <w:rFonts w:ascii="Arial" w:hAnsi="Arial" w:cs="Arial"/>
          <w:sz w:val="22"/>
          <w:szCs w:val="22"/>
        </w:rPr>
        <w:t>7. Pracovní zátěž jednotlivých zaměstnanců je sledována individuálně jejich představenými v rámci řízení útvarů. Z úrovně povinného subjektu je vytíženost konkrétních osob sledována pouze v dílčích agendách (např. kontrolní činnost, vymáhání). Vzhledem k rozdílné náročnosti jednotlivých agend nelze pracovní výkon kvantifikovat jednotně, a proto je nutné přistupovat k hodnocení zátěže individuálně. Ve Finanční správě proto neexistuje jednotný a komplexní nástroj pro plošné sledování pracovní zátěže jednotlivců; porovnává se však zatížení jejích orgánů a organizačních složek, a to do úrovně územních pracovišť.</w:t>
      </w:r>
    </w:p>
    <w:p w14:paraId="2F05620B" w14:textId="2FDA943A" w:rsidR="00262C36" w:rsidRPr="00262C36" w:rsidRDefault="00262C36" w:rsidP="00262C36">
      <w:pPr>
        <w:spacing w:after="240" w:line="276" w:lineRule="auto"/>
        <w:jc w:val="both"/>
        <w:rPr>
          <w:rFonts w:ascii="Arial" w:hAnsi="Arial" w:cs="Arial"/>
          <w:sz w:val="22"/>
          <w:szCs w:val="22"/>
        </w:rPr>
      </w:pPr>
      <w:r>
        <w:rPr>
          <w:rFonts w:ascii="Arial" w:hAnsi="Arial" w:cs="Arial"/>
          <w:sz w:val="22"/>
          <w:szCs w:val="22"/>
        </w:rPr>
        <w:t xml:space="preserve">Ad </w:t>
      </w:r>
      <w:r w:rsidRPr="00262C36">
        <w:rPr>
          <w:rFonts w:ascii="Arial" w:hAnsi="Arial" w:cs="Arial"/>
          <w:sz w:val="22"/>
          <w:szCs w:val="22"/>
        </w:rPr>
        <w:t>8. Vedoucí pracovníci mohou absolvovat vzdělávací aktivity zaměřené na oblast duševní pohody a</w:t>
      </w:r>
      <w:r>
        <w:rPr>
          <w:rFonts w:ascii="Arial" w:hAnsi="Arial" w:cs="Arial"/>
          <w:sz w:val="22"/>
          <w:szCs w:val="22"/>
        </w:rPr>
        <w:t> </w:t>
      </w:r>
      <w:r w:rsidRPr="00262C36">
        <w:rPr>
          <w:rFonts w:ascii="Arial" w:hAnsi="Arial" w:cs="Arial"/>
          <w:sz w:val="22"/>
          <w:szCs w:val="22"/>
        </w:rPr>
        <w:t>prevence stresu v následujících formách:</w:t>
      </w:r>
    </w:p>
    <w:p w14:paraId="7C8F187C" w14:textId="77777777" w:rsidR="00262C36" w:rsidRPr="00262C36" w:rsidRDefault="00262C36" w:rsidP="00262C36">
      <w:pPr>
        <w:pStyle w:val="Odstavecseseznamem"/>
        <w:numPr>
          <w:ilvl w:val="0"/>
          <w:numId w:val="7"/>
        </w:numPr>
        <w:spacing w:after="240" w:line="276" w:lineRule="auto"/>
        <w:jc w:val="both"/>
        <w:rPr>
          <w:rFonts w:ascii="Arial" w:hAnsi="Arial" w:cs="Arial"/>
          <w:sz w:val="22"/>
          <w:szCs w:val="22"/>
        </w:rPr>
      </w:pPr>
      <w:r w:rsidRPr="00262C36">
        <w:rPr>
          <w:rFonts w:ascii="Arial" w:hAnsi="Arial" w:cs="Arial"/>
          <w:b/>
          <w:bCs/>
          <w:sz w:val="22"/>
          <w:szCs w:val="22"/>
        </w:rPr>
        <w:t>Obecná školení</w:t>
      </w:r>
      <w:r w:rsidRPr="00262C36">
        <w:rPr>
          <w:rFonts w:ascii="Arial" w:hAnsi="Arial" w:cs="Arial"/>
          <w:sz w:val="22"/>
          <w:szCs w:val="22"/>
        </w:rPr>
        <w:t xml:space="preserve"> zaměřená na zvládání stresu, duševní hygienu a posilování psychické odolnosti, která jsou určena všem zaměstnancům včetně vedoucích.</w:t>
      </w:r>
    </w:p>
    <w:p w14:paraId="18AB3ABF" w14:textId="77777777" w:rsidR="00262C36" w:rsidRPr="00262C36" w:rsidRDefault="00262C36" w:rsidP="00262C36">
      <w:pPr>
        <w:pStyle w:val="Odstavecseseznamem"/>
        <w:numPr>
          <w:ilvl w:val="0"/>
          <w:numId w:val="7"/>
        </w:numPr>
        <w:spacing w:after="240" w:line="276" w:lineRule="auto"/>
        <w:jc w:val="both"/>
        <w:rPr>
          <w:rFonts w:ascii="Arial" w:hAnsi="Arial" w:cs="Arial"/>
          <w:sz w:val="22"/>
          <w:szCs w:val="22"/>
        </w:rPr>
      </w:pPr>
      <w:r w:rsidRPr="00262C36">
        <w:rPr>
          <w:rFonts w:ascii="Arial" w:hAnsi="Arial" w:cs="Arial"/>
          <w:b/>
          <w:bCs/>
          <w:sz w:val="22"/>
          <w:szCs w:val="22"/>
        </w:rPr>
        <w:t>Školení managementu</w:t>
      </w:r>
      <w:r w:rsidRPr="00262C36">
        <w:rPr>
          <w:rFonts w:ascii="Arial" w:hAnsi="Arial" w:cs="Arial"/>
          <w:sz w:val="22"/>
          <w:szCs w:val="22"/>
        </w:rPr>
        <w:t xml:space="preserve">, která se specificky zaměřují na vedení týmů v náročných situacích, </w:t>
      </w:r>
      <w:proofErr w:type="spellStart"/>
      <w:r w:rsidRPr="00262C36">
        <w:rPr>
          <w:rFonts w:ascii="Arial" w:hAnsi="Arial" w:cs="Arial"/>
          <w:sz w:val="22"/>
          <w:szCs w:val="22"/>
        </w:rPr>
        <w:t>time</w:t>
      </w:r>
      <w:proofErr w:type="spellEnd"/>
      <w:r w:rsidRPr="00262C36">
        <w:rPr>
          <w:rFonts w:ascii="Arial" w:hAnsi="Arial" w:cs="Arial"/>
          <w:sz w:val="22"/>
          <w:szCs w:val="22"/>
        </w:rPr>
        <w:t xml:space="preserve"> management a prevenci syndromu vyhoření u podřízených. Tato školení pomáhají vedoucím lépe rozpoznat rizikové faktory a efektivně reagovat na zátěžové situace v týmu.</w:t>
      </w:r>
    </w:p>
    <w:p w14:paraId="5A6C60EE" w14:textId="7BF961DD" w:rsidR="00262C36" w:rsidRPr="00262C36" w:rsidRDefault="00262C36" w:rsidP="00262C36">
      <w:pPr>
        <w:spacing w:after="240" w:line="276" w:lineRule="auto"/>
        <w:jc w:val="both"/>
        <w:rPr>
          <w:rFonts w:ascii="Arial" w:hAnsi="Arial" w:cs="Arial"/>
          <w:sz w:val="22"/>
          <w:szCs w:val="22"/>
        </w:rPr>
      </w:pPr>
      <w:r w:rsidRPr="00262C36">
        <w:rPr>
          <w:rFonts w:ascii="Arial" w:hAnsi="Arial" w:cs="Arial"/>
          <w:sz w:val="22"/>
          <w:szCs w:val="22"/>
        </w:rPr>
        <w:t>Nabídka vzdělávacích aktivit v této oblasti se průběžně dle možností rozšiřuje.</w:t>
      </w:r>
    </w:p>
    <w:sectPr w:rsidR="00262C36" w:rsidRPr="00262C36">
      <w:pgSz w:w="11906" w:h="16838"/>
      <w:pgMar w:top="567" w:right="567" w:bottom="517" w:left="567" w:header="226" w:footer="2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45CE6"/>
    <w:multiLevelType w:val="hybridMultilevel"/>
    <w:tmpl w:val="AB8EF64A"/>
    <w:lvl w:ilvl="0" w:tplc="5E183542">
      <w:numFmt w:val="bullet"/>
      <w:lvlText w:val="•"/>
      <w:lvlJc w:val="left"/>
      <w:pPr>
        <w:ind w:left="720" w:hanging="360"/>
      </w:pPr>
      <w:rPr>
        <w:rFonts w:ascii="Arial" w:eastAsia="Arial"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D41AFE"/>
    <w:multiLevelType w:val="hybridMultilevel"/>
    <w:tmpl w:val="91B8AE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2AD35DC"/>
    <w:multiLevelType w:val="hybridMultilevel"/>
    <w:tmpl w:val="E3B0862E"/>
    <w:lvl w:ilvl="0" w:tplc="5E183542">
      <w:numFmt w:val="bullet"/>
      <w:lvlText w:val="•"/>
      <w:lvlJc w:val="left"/>
      <w:pPr>
        <w:ind w:left="720" w:hanging="360"/>
      </w:pPr>
      <w:rPr>
        <w:rFonts w:ascii="Arial" w:eastAsia="Arial"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7DF79C1"/>
    <w:multiLevelType w:val="hybridMultilevel"/>
    <w:tmpl w:val="4DF2BF3C"/>
    <w:lvl w:ilvl="0" w:tplc="5E183542">
      <w:numFmt w:val="bullet"/>
      <w:lvlText w:val="•"/>
      <w:lvlJc w:val="left"/>
      <w:pPr>
        <w:ind w:left="720" w:hanging="360"/>
      </w:pPr>
      <w:rPr>
        <w:rFonts w:ascii="Arial" w:eastAsia="Arial"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5FA7C9E"/>
    <w:multiLevelType w:val="hybridMultilevel"/>
    <w:tmpl w:val="3DFA224A"/>
    <w:lvl w:ilvl="0" w:tplc="5E183542">
      <w:numFmt w:val="bullet"/>
      <w:lvlText w:val="•"/>
      <w:lvlJc w:val="left"/>
      <w:pPr>
        <w:ind w:left="720" w:hanging="360"/>
      </w:pPr>
      <w:rPr>
        <w:rFonts w:ascii="Arial" w:eastAsia="Arial"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ACA285D"/>
    <w:multiLevelType w:val="hybridMultilevel"/>
    <w:tmpl w:val="55200B32"/>
    <w:lvl w:ilvl="0" w:tplc="AF8AE2C0">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C7C27F6"/>
    <w:multiLevelType w:val="hybridMultilevel"/>
    <w:tmpl w:val="F0EAEC5E"/>
    <w:lvl w:ilvl="0" w:tplc="AF8AE2C0">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3183368">
    <w:abstractNumId w:val="1"/>
  </w:num>
  <w:num w:numId="2" w16cid:durableId="1596205316">
    <w:abstractNumId w:val="0"/>
  </w:num>
  <w:num w:numId="3" w16cid:durableId="1823036664">
    <w:abstractNumId w:val="4"/>
  </w:num>
  <w:num w:numId="4" w16cid:durableId="1481073495">
    <w:abstractNumId w:val="3"/>
  </w:num>
  <w:num w:numId="5" w16cid:durableId="1851487454">
    <w:abstractNumId w:val="2"/>
  </w:num>
  <w:num w:numId="6" w16cid:durableId="1041900000">
    <w:abstractNumId w:val="6"/>
  </w:num>
  <w:num w:numId="7" w16cid:durableId="836968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92"/>
    <w:rsid w:val="000934BE"/>
    <w:rsid w:val="000D4F92"/>
    <w:rsid w:val="00197EEB"/>
    <w:rsid w:val="00262C36"/>
    <w:rsid w:val="0074467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54E4"/>
  <w15:docId w15:val="{B291FABA-7118-4626-9198-5350B2C1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sz w:val="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2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946</Words>
  <Characters>5586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Report</vt:lpstr>
    </vt:vector>
  </TitlesOfParts>
  <Company>Stimulsoft Reports.JS 2024.2.6 from 2024.05.20</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Bloudková Kateřina Mgr. (GFŘ)</dc:creator>
  <cp:keywords/>
  <dc:description/>
  <cp:lastModifiedBy>Bloudková Kateřina Mgr. (GFŘ)</cp:lastModifiedBy>
  <cp:revision>2</cp:revision>
  <dcterms:created xsi:type="dcterms:W3CDTF">2025-09-09T09:01:00Z</dcterms:created>
  <dcterms:modified xsi:type="dcterms:W3CDTF">2025-09-09T09:01:00Z</dcterms:modified>
  <cp:contentStatus>Netscape * Mozilla/5.0 (Windows NT 10.0; Win64; x64) AppleWebKit/537.36 (KHTML, like Gecko) Chrome/139.0.0.0 Safari/537.36 Edg/139.0.0.0</cp:contentStatus>
</cp:coreProperties>
</file>