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DD8F" w14:textId="77777777" w:rsidR="004511DA" w:rsidRDefault="004511DA"/>
    <w:p w14:paraId="13A9C254" w14:textId="77777777" w:rsidR="004511DA" w:rsidRDefault="004511DA"/>
    <w:p w14:paraId="1A34F094" w14:textId="7F18CE2D" w:rsidR="004511DA" w:rsidRPr="004511DA" w:rsidRDefault="004511DA" w:rsidP="004511D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Dotaz na statistiku k metodám stanovení převodních cen</w:t>
      </w:r>
      <w:r w:rsidRPr="004511D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4511DA">
        <w:rPr>
          <w:rFonts w:ascii="Arial" w:hAnsi="Arial" w:cs="Arial"/>
          <w:b/>
          <w:sz w:val="22"/>
          <w:szCs w:val="22"/>
          <w:u w:val="single"/>
        </w:rPr>
        <w:t>(5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4511DA">
        <w:rPr>
          <w:rFonts w:ascii="Arial" w:hAnsi="Arial" w:cs="Arial"/>
          <w:b/>
          <w:sz w:val="22"/>
          <w:szCs w:val="22"/>
          <w:u w:val="single"/>
        </w:rPr>
        <w:t>/25)</w:t>
      </w:r>
    </w:p>
    <w:p w14:paraId="397ED922" w14:textId="77777777" w:rsidR="004511DA" w:rsidRPr="004511DA" w:rsidRDefault="004511DA">
      <w:pPr>
        <w:rPr>
          <w:rFonts w:ascii="Arial" w:hAnsi="Arial" w:cs="Arial"/>
          <w:sz w:val="22"/>
          <w:szCs w:val="22"/>
        </w:rPr>
      </w:pPr>
    </w:p>
    <w:p w14:paraId="626705D2" w14:textId="77777777" w:rsidR="004511DA" w:rsidRPr="004511DA" w:rsidRDefault="004511DA">
      <w:pPr>
        <w:rPr>
          <w:rFonts w:ascii="Arial" w:hAnsi="Arial" w:cs="Arial"/>
          <w:sz w:val="22"/>
          <w:szCs w:val="22"/>
        </w:rPr>
      </w:pPr>
    </w:p>
    <w:p w14:paraId="1C86882B" w14:textId="77777777" w:rsidR="004511DA" w:rsidRDefault="004511DA"/>
    <w:p w14:paraId="7C26803D" w14:textId="77777777" w:rsidR="004511DA" w:rsidRDefault="004511DA"/>
    <w:p w14:paraId="1F63F620" w14:textId="77777777" w:rsidR="004511DA" w:rsidRDefault="004511DA"/>
    <w:p w14:paraId="06C47016" w14:textId="77777777" w:rsidR="004511DA" w:rsidRDefault="004511DA"/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6992"/>
      </w:tblGrid>
      <w:tr w:rsidR="005F2750" w:rsidRPr="004511DA" w14:paraId="0B4407C7" w14:textId="77777777" w:rsidTr="004511DA">
        <w:trPr>
          <w:trHeight w:hRule="exact" w:val="459"/>
        </w:trPr>
        <w:tc>
          <w:tcPr>
            <w:tcW w:w="3725" w:type="dxa"/>
            <w:shd w:val="clear" w:color="auto" w:fill="auto"/>
          </w:tcPr>
          <w:p w14:paraId="042E1686" w14:textId="77777777" w:rsidR="005F2750" w:rsidRPr="004511DA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4511DA">
              <w:rPr>
                <w:rFonts w:ascii="Arial" w:eastAsia="Arial" w:hAnsi="Arial" w:cs="Arial"/>
                <w:b/>
                <w:spacing w:val="-2"/>
                <w:sz w:val="22"/>
                <w:szCs w:val="22"/>
                <w:u w:val="single"/>
              </w:rPr>
              <w:t>Žádost:</w:t>
            </w:r>
          </w:p>
        </w:tc>
        <w:tc>
          <w:tcPr>
            <w:tcW w:w="6992" w:type="dxa"/>
          </w:tcPr>
          <w:p w14:paraId="7722C09C" w14:textId="77777777" w:rsidR="005F2750" w:rsidRPr="004511DA" w:rsidRDefault="005F2750">
            <w:pPr>
              <w:rPr>
                <w:sz w:val="22"/>
                <w:szCs w:val="22"/>
              </w:rPr>
            </w:pPr>
          </w:p>
        </w:tc>
      </w:tr>
      <w:tr w:rsidR="005F2750" w:rsidRPr="004511DA" w14:paraId="13932B61" w14:textId="77777777" w:rsidTr="004511DA">
        <w:trPr>
          <w:trHeight w:hRule="exact" w:val="100"/>
        </w:trPr>
        <w:tc>
          <w:tcPr>
            <w:tcW w:w="10717" w:type="dxa"/>
            <w:gridSpan w:val="2"/>
          </w:tcPr>
          <w:p w14:paraId="4BEB0E5F" w14:textId="77777777" w:rsidR="005F2750" w:rsidRPr="004511DA" w:rsidRDefault="005F2750">
            <w:pPr>
              <w:rPr>
                <w:sz w:val="22"/>
                <w:szCs w:val="22"/>
              </w:rPr>
            </w:pPr>
          </w:p>
        </w:tc>
      </w:tr>
      <w:tr w:rsidR="005F2750" w:rsidRPr="004511DA" w14:paraId="02850A72" w14:textId="77777777" w:rsidTr="004511DA">
        <w:trPr>
          <w:trHeight w:hRule="exact" w:val="1419"/>
        </w:trPr>
        <w:tc>
          <w:tcPr>
            <w:tcW w:w="10717" w:type="dxa"/>
            <w:gridSpan w:val="2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97EDA7" w14:textId="4150DDE3" w:rsidR="005F2750" w:rsidRPr="004511DA" w:rsidRDefault="00000000" w:rsidP="004511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4511DA">
              <w:rPr>
                <w:rFonts w:ascii="Arial" w:eastAsia="Arial" w:hAnsi="Arial" w:cs="Arial"/>
                <w:spacing w:val="-2"/>
                <w:sz w:val="22"/>
                <w:szCs w:val="22"/>
              </w:rPr>
              <w:t>Vede Finanční správa České republiky statistiku, jaká metoda stanovení převodních cen je</w:t>
            </w:r>
            <w:r w:rsidR="004511DA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4511DA">
              <w:rPr>
                <w:rFonts w:ascii="Arial" w:eastAsia="Arial" w:hAnsi="Arial" w:cs="Arial"/>
                <w:spacing w:val="-2"/>
                <w:sz w:val="22"/>
                <w:szCs w:val="22"/>
              </w:rPr>
              <w:t>nejpoužívanější v případě zdanění finančních transakcí daní z příjmů, jak je rozumí Pokyny</w:t>
            </w:r>
            <w:r w:rsidR="004511DA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4511DA">
              <w:rPr>
                <w:rFonts w:ascii="Arial" w:eastAsia="Arial" w:hAnsi="Arial" w:cs="Arial"/>
                <w:spacing w:val="-2"/>
                <w:sz w:val="22"/>
                <w:szCs w:val="22"/>
              </w:rPr>
              <w:t>k převodním cenám v oblasti finančních transakcí?1 Pokud ano, je kategorizována podle jednotlivých</w:t>
            </w:r>
            <w:r w:rsidR="004511DA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4511DA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let, např. od 2013 do 2024? Pokud ano, poprosil bych o poskytnutí rovněž i této informace. </w:t>
            </w:r>
          </w:p>
        </w:tc>
      </w:tr>
      <w:tr w:rsidR="005F2750" w:rsidRPr="004511DA" w14:paraId="21674F04" w14:textId="77777777" w:rsidTr="004511DA">
        <w:trPr>
          <w:trHeight w:hRule="exact" w:val="444"/>
        </w:trPr>
        <w:tc>
          <w:tcPr>
            <w:tcW w:w="3725" w:type="dxa"/>
            <w:shd w:val="clear" w:color="auto" w:fill="auto"/>
          </w:tcPr>
          <w:p w14:paraId="5B7EF9DB" w14:textId="77777777" w:rsidR="005F2750" w:rsidRPr="004511DA" w:rsidRDefault="0000000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4511DA">
              <w:rPr>
                <w:rFonts w:ascii="Arial" w:eastAsia="Arial" w:hAnsi="Arial" w:cs="Arial"/>
                <w:b/>
                <w:spacing w:val="-2"/>
                <w:sz w:val="22"/>
                <w:szCs w:val="22"/>
                <w:u w:val="single"/>
              </w:rPr>
              <w:t>Odpověď:</w:t>
            </w:r>
          </w:p>
        </w:tc>
        <w:tc>
          <w:tcPr>
            <w:tcW w:w="6992" w:type="dxa"/>
          </w:tcPr>
          <w:p w14:paraId="314439B9" w14:textId="77777777" w:rsidR="005F2750" w:rsidRPr="004511DA" w:rsidRDefault="005F2750">
            <w:pPr>
              <w:rPr>
                <w:sz w:val="22"/>
                <w:szCs w:val="22"/>
              </w:rPr>
            </w:pPr>
          </w:p>
        </w:tc>
      </w:tr>
      <w:tr w:rsidR="005F2750" w:rsidRPr="004511DA" w14:paraId="5CA57220" w14:textId="77777777" w:rsidTr="004511DA">
        <w:trPr>
          <w:trHeight w:hRule="exact" w:val="114"/>
        </w:trPr>
        <w:tc>
          <w:tcPr>
            <w:tcW w:w="10717" w:type="dxa"/>
            <w:gridSpan w:val="2"/>
          </w:tcPr>
          <w:p w14:paraId="134F1A02" w14:textId="77777777" w:rsidR="005F2750" w:rsidRPr="004511DA" w:rsidRDefault="005F2750">
            <w:pPr>
              <w:rPr>
                <w:sz w:val="22"/>
                <w:szCs w:val="22"/>
              </w:rPr>
            </w:pPr>
          </w:p>
        </w:tc>
      </w:tr>
      <w:tr w:rsidR="005F2750" w:rsidRPr="004511DA" w14:paraId="013DBE89" w14:textId="77777777" w:rsidTr="004511DA">
        <w:trPr>
          <w:trHeight w:hRule="exact" w:val="1089"/>
        </w:trPr>
        <w:tc>
          <w:tcPr>
            <w:tcW w:w="10717" w:type="dxa"/>
            <w:gridSpan w:val="2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1826B1" w14:textId="77777777" w:rsidR="005F2750" w:rsidRPr="004511DA" w:rsidRDefault="005F2750">
            <w:pPr>
              <w:spacing w:line="16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6EBA6EE8" w14:textId="5A152DC6" w:rsidR="005F2750" w:rsidRPr="004511DA" w:rsidRDefault="00000000" w:rsidP="004511D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4511DA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Povinný subjekt </w:t>
            </w:r>
            <w:r w:rsidR="004511DA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sděluje, </w:t>
            </w:r>
            <w:proofErr w:type="spellStart"/>
            <w:proofErr w:type="gramStart"/>
            <w:r w:rsidR="004511DA">
              <w:rPr>
                <w:rFonts w:ascii="Arial" w:eastAsia="Arial" w:hAnsi="Arial" w:cs="Arial"/>
                <w:spacing w:val="-2"/>
                <w:sz w:val="22"/>
                <w:szCs w:val="22"/>
              </w:rPr>
              <w:t>že</w:t>
            </w:r>
            <w:r w:rsidRPr="004511DA">
              <w:rPr>
                <w:rFonts w:ascii="Arial" w:eastAsia="Arial" w:hAnsi="Arial" w:cs="Arial"/>
                <w:spacing w:val="-2"/>
                <w:sz w:val="22"/>
                <w:szCs w:val="22"/>
              </w:rPr>
              <w:t>.</w:t>
            </w:r>
            <w:r w:rsidR="004511DA">
              <w:rPr>
                <w:rFonts w:ascii="Arial" w:eastAsia="Arial" w:hAnsi="Arial" w:cs="Arial"/>
                <w:spacing w:val="-2"/>
                <w:sz w:val="22"/>
                <w:szCs w:val="22"/>
              </w:rPr>
              <w:t>ž</w:t>
            </w:r>
            <w:r w:rsidRPr="004511DA">
              <w:rPr>
                <w:rFonts w:ascii="Arial" w:eastAsia="Arial" w:hAnsi="Arial" w:cs="Arial"/>
                <w:spacing w:val="-2"/>
                <w:sz w:val="22"/>
                <w:szCs w:val="22"/>
              </w:rPr>
              <w:t>ádnou</w:t>
            </w:r>
            <w:proofErr w:type="spellEnd"/>
            <w:proofErr w:type="gramEnd"/>
            <w:r w:rsidRPr="004511DA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statistiku</w:t>
            </w:r>
            <w:r w:rsidR="004511DA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4511DA">
              <w:rPr>
                <w:rFonts w:ascii="Arial" w:eastAsia="Arial" w:hAnsi="Arial" w:cs="Arial"/>
                <w:spacing w:val="-2"/>
                <w:sz w:val="22"/>
                <w:szCs w:val="22"/>
              </w:rPr>
              <w:t>týkající se používaných metod stanovení převodních cen v oblasti finančních transakcí</w:t>
            </w:r>
            <w:r w:rsidR="004511DA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4511DA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nevede. </w:t>
            </w:r>
          </w:p>
        </w:tc>
      </w:tr>
    </w:tbl>
    <w:p w14:paraId="4643927B" w14:textId="77777777" w:rsidR="00445A1B" w:rsidRPr="004511DA" w:rsidRDefault="00445A1B">
      <w:pPr>
        <w:rPr>
          <w:sz w:val="22"/>
          <w:szCs w:val="22"/>
        </w:rPr>
      </w:pPr>
    </w:p>
    <w:sectPr w:rsidR="00445A1B" w:rsidRPr="004511DA">
      <w:pgSz w:w="11906" w:h="16838"/>
      <w:pgMar w:top="567" w:right="567" w:bottom="517" w:left="567" w:header="226" w:footer="2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50"/>
    <w:rsid w:val="00445A1B"/>
    <w:rsid w:val="004511DA"/>
    <w:rsid w:val="005F2750"/>
    <w:rsid w:val="00B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3385"/>
  <w15:docId w15:val="{216E1FAC-511E-4D36-949A-6D0AB7CB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524</Characters>
  <Application>Microsoft Office Word</Application>
  <DocSecurity>0</DocSecurity>
  <Lines>4</Lines>
  <Paragraphs>1</Paragraphs>
  <ScaleCrop>false</ScaleCrop>
  <Company>Stimulsoft Reports.JS 2024.2.6 from 2024.05.20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Bloudková Kateřina Mgr. (GFŘ)</dc:creator>
  <cp:keywords/>
  <dc:description/>
  <cp:lastModifiedBy>Bloudková Kateřina Mgr. (GFŘ)</cp:lastModifiedBy>
  <cp:revision>2</cp:revision>
  <dcterms:created xsi:type="dcterms:W3CDTF">2025-06-24T13:28:00Z</dcterms:created>
  <dcterms:modified xsi:type="dcterms:W3CDTF">2025-06-24T13:28:00Z</dcterms:modified>
  <cp:contentStatus>Netscape * Mozilla/5.0 (Windows NT 10.0; Win64; x64) AppleWebKit/537.36 (KHTML, like Gecko) Chrome/137.0.0.0 Safari/537.36 Edg/137.0.0.0</cp:contentStatus>
</cp:coreProperties>
</file>