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323C" w14:textId="12A928F6" w:rsidR="00537C0A" w:rsidRPr="003F33F0" w:rsidRDefault="00537C0A" w:rsidP="00537C0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I</w:t>
      </w:r>
      <w:r w:rsidRPr="00537C0A">
        <w:rPr>
          <w:rFonts w:ascii="Arial" w:hAnsi="Arial" w:cs="Arial"/>
          <w:b/>
          <w:bCs/>
          <w:u w:val="single"/>
        </w:rPr>
        <w:t>nformac</w:t>
      </w:r>
      <w:r>
        <w:rPr>
          <w:rFonts w:ascii="Arial" w:hAnsi="Arial" w:cs="Arial"/>
          <w:b/>
          <w:bCs/>
          <w:u w:val="single"/>
        </w:rPr>
        <w:t>e</w:t>
      </w:r>
      <w:r w:rsidRPr="00537C0A">
        <w:rPr>
          <w:rFonts w:ascii="Arial" w:hAnsi="Arial" w:cs="Arial"/>
          <w:b/>
          <w:bCs/>
          <w:u w:val="single"/>
        </w:rPr>
        <w:t xml:space="preserve"> k zajišťování a vymáhání daňových nedoplatků orgány Finanční</w:t>
      </w:r>
      <w:r w:rsidR="00944A15">
        <w:rPr>
          <w:rFonts w:ascii="Arial" w:hAnsi="Arial" w:cs="Arial"/>
          <w:b/>
          <w:bCs/>
          <w:u w:val="single"/>
        </w:rPr>
        <w:t xml:space="preserve"> </w:t>
      </w:r>
      <w:r w:rsidRPr="00537C0A">
        <w:rPr>
          <w:rFonts w:ascii="Arial" w:hAnsi="Arial" w:cs="Arial"/>
          <w:b/>
          <w:bCs/>
          <w:u w:val="single"/>
        </w:rPr>
        <w:t xml:space="preserve">správy ČR a počtu zaměstnanců podílejících se na vybrané činnosti </w:t>
      </w:r>
      <w:r w:rsidRPr="003F33F0">
        <w:rPr>
          <w:rFonts w:ascii="Arial" w:hAnsi="Arial" w:cs="Arial"/>
          <w:b/>
          <w:u w:val="single"/>
        </w:rPr>
        <w:t>(1</w:t>
      </w:r>
      <w:r>
        <w:rPr>
          <w:rFonts w:ascii="Arial" w:hAnsi="Arial" w:cs="Arial"/>
          <w:b/>
          <w:u w:val="single"/>
        </w:rPr>
        <w:t>8</w:t>
      </w:r>
      <w:r w:rsidRPr="003F33F0">
        <w:rPr>
          <w:rFonts w:ascii="Arial" w:hAnsi="Arial" w:cs="Arial"/>
          <w:b/>
          <w:u w:val="single"/>
        </w:rPr>
        <w:t>/25)</w:t>
      </w:r>
    </w:p>
    <w:p w14:paraId="01C11592" w14:textId="77777777" w:rsidR="00537C0A" w:rsidRPr="0059326F" w:rsidRDefault="00537C0A" w:rsidP="00537C0A">
      <w:pPr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Dotaz: </w:t>
      </w:r>
    </w:p>
    <w:p w14:paraId="178778AE" w14:textId="044343F7" w:rsidR="00537C0A" w:rsidRP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7970">
        <w:rPr>
          <w:rFonts w:ascii="Arial" w:hAnsi="Arial" w:cs="Arial"/>
        </w:rPr>
        <w:t xml:space="preserve">Žádám </w:t>
      </w:r>
      <w:r w:rsidRPr="00057970">
        <w:rPr>
          <w:rFonts w:ascii="Arial" w:hAnsi="Arial" w:cs="Arial"/>
          <w14:ligatures w14:val="standardContextual"/>
        </w:rPr>
        <w:t xml:space="preserve">o </w:t>
      </w:r>
      <w:r w:rsidRPr="00D8329F">
        <w:rPr>
          <w:rFonts w:ascii="Arial" w:hAnsi="Arial" w:cs="Arial"/>
        </w:rPr>
        <w:t>poskytnutí</w:t>
      </w:r>
      <w:r>
        <w:rPr>
          <w:rFonts w:ascii="Arial" w:hAnsi="Arial" w:cs="Arial"/>
        </w:rPr>
        <w:t xml:space="preserve">: </w:t>
      </w:r>
    </w:p>
    <w:p w14:paraId="4122DA41" w14:textId="3D9D86D1" w:rsidR="00537C0A" w:rsidRP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7C0A">
        <w:rPr>
          <w:rFonts w:ascii="Arial" w:hAnsi="Arial" w:cs="Arial"/>
        </w:rPr>
        <w:t xml:space="preserve">1) Celkový počet zaměstnanců finanční správy (dále jen „FS“), kteří se podílejí na vymáhání daňových pohledávek; </w:t>
      </w:r>
    </w:p>
    <w:p w14:paraId="711BBA3D" w14:textId="77777777" w:rsidR="00537C0A" w:rsidRP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7C0A">
        <w:rPr>
          <w:rFonts w:ascii="Arial" w:hAnsi="Arial" w:cs="Arial"/>
        </w:rPr>
        <w:t xml:space="preserve">2) Počet zaměstnanců ad 1) podle jednotlivých platových tříd; </w:t>
      </w:r>
    </w:p>
    <w:p w14:paraId="4FC4B311" w14:textId="77777777" w:rsidR="00537C0A" w:rsidRP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7C0A">
        <w:rPr>
          <w:rFonts w:ascii="Arial" w:hAnsi="Arial" w:cs="Arial"/>
        </w:rPr>
        <w:t xml:space="preserve">3) Počet neobsazených tabulkových míst pro zaměstnance, kteří se mají podílet na vymáhání daňových pohledávek; </w:t>
      </w:r>
    </w:p>
    <w:p w14:paraId="48166539" w14:textId="77777777" w:rsidR="00537C0A" w:rsidRP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7C0A">
        <w:rPr>
          <w:rFonts w:ascii="Arial" w:hAnsi="Arial" w:cs="Arial"/>
        </w:rPr>
        <w:t xml:space="preserve">4) Počet daňových pohledávek po splatnosti, jejich placení FS spravuje (inkaso + vymáhání); </w:t>
      </w:r>
    </w:p>
    <w:p w14:paraId="1E361194" w14:textId="77777777" w:rsidR="00537C0A" w:rsidRP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7C0A">
        <w:rPr>
          <w:rFonts w:ascii="Arial" w:hAnsi="Arial" w:cs="Arial"/>
        </w:rPr>
        <w:t xml:space="preserve">5) Počet pohledávek ad 4), u nichž FS zahájila daňovou exekuci – souhrnně ke dni podání žádosti + jednotlivě za roky 2022, 2023 a 2024; </w:t>
      </w:r>
    </w:p>
    <w:p w14:paraId="1B4D1463" w14:textId="77777777" w:rsidR="00537C0A" w:rsidRP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7C0A">
        <w:rPr>
          <w:rFonts w:ascii="Arial" w:hAnsi="Arial" w:cs="Arial"/>
        </w:rPr>
        <w:t xml:space="preserve">6) Nominální hodnota pohledávek ad 5) jednotlivě za roky 2022, 2023 a 2024; </w:t>
      </w:r>
    </w:p>
    <w:p w14:paraId="7713E796" w14:textId="77777777" w:rsidR="00537C0A" w:rsidRP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7C0A">
        <w:rPr>
          <w:rFonts w:ascii="Arial" w:hAnsi="Arial" w:cs="Arial"/>
        </w:rPr>
        <w:t xml:space="preserve">7) Nominální hodnota vymožených pohledávek ke dni podání žádosti v exekucích zahájených jednotlivě v letech 2022, 2023 a 2024; </w:t>
      </w:r>
    </w:p>
    <w:p w14:paraId="51A86C96" w14:textId="77777777" w:rsidR="00537C0A" w:rsidRP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7C0A">
        <w:rPr>
          <w:rFonts w:ascii="Arial" w:hAnsi="Arial" w:cs="Arial"/>
        </w:rPr>
        <w:t xml:space="preserve">8) Počet vydaných exekučních příkazů jednotlivě v letech 2022, 2023 a 2024 – souhrnně + z toho: </w:t>
      </w:r>
    </w:p>
    <w:p w14:paraId="455AA383" w14:textId="77777777" w:rsidR="00537C0A" w:rsidRP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7C0A">
        <w:rPr>
          <w:rFonts w:ascii="Arial" w:hAnsi="Arial" w:cs="Arial"/>
        </w:rPr>
        <w:t xml:space="preserve">- </w:t>
      </w:r>
      <w:proofErr w:type="gramStart"/>
      <w:r w:rsidRPr="00537C0A">
        <w:rPr>
          <w:rFonts w:ascii="Arial" w:hAnsi="Arial" w:cs="Arial"/>
        </w:rPr>
        <w:t>EP - srážky</w:t>
      </w:r>
      <w:proofErr w:type="gramEnd"/>
      <w:r w:rsidRPr="00537C0A">
        <w:rPr>
          <w:rFonts w:ascii="Arial" w:hAnsi="Arial" w:cs="Arial"/>
        </w:rPr>
        <w:t xml:space="preserve"> ze mzdy, </w:t>
      </w:r>
    </w:p>
    <w:p w14:paraId="413FBD72" w14:textId="77777777" w:rsidR="00537C0A" w:rsidRP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7C0A">
        <w:rPr>
          <w:rFonts w:ascii="Arial" w:hAnsi="Arial" w:cs="Arial"/>
        </w:rPr>
        <w:t xml:space="preserve">- </w:t>
      </w:r>
      <w:proofErr w:type="gramStart"/>
      <w:r w:rsidRPr="00537C0A">
        <w:rPr>
          <w:rFonts w:ascii="Arial" w:hAnsi="Arial" w:cs="Arial"/>
        </w:rPr>
        <w:t>EP - přikázání</w:t>
      </w:r>
      <w:proofErr w:type="gramEnd"/>
      <w:r w:rsidRPr="00537C0A">
        <w:rPr>
          <w:rFonts w:ascii="Arial" w:hAnsi="Arial" w:cs="Arial"/>
        </w:rPr>
        <w:t xml:space="preserve"> pohledávky z účtu u poskytovatele platebních služeb, </w:t>
      </w:r>
    </w:p>
    <w:p w14:paraId="4553849F" w14:textId="77777777" w:rsidR="00537C0A" w:rsidRP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7C0A">
        <w:rPr>
          <w:rFonts w:ascii="Arial" w:hAnsi="Arial" w:cs="Arial"/>
        </w:rPr>
        <w:t xml:space="preserve">- </w:t>
      </w:r>
      <w:proofErr w:type="gramStart"/>
      <w:r w:rsidRPr="00537C0A">
        <w:rPr>
          <w:rFonts w:ascii="Arial" w:hAnsi="Arial" w:cs="Arial"/>
        </w:rPr>
        <w:t>EP - přikázáním</w:t>
      </w:r>
      <w:proofErr w:type="gramEnd"/>
      <w:r w:rsidRPr="00537C0A">
        <w:rPr>
          <w:rFonts w:ascii="Arial" w:hAnsi="Arial" w:cs="Arial"/>
        </w:rPr>
        <w:t xml:space="preserve"> jiné peněžité pohledávky, </w:t>
      </w:r>
    </w:p>
    <w:p w14:paraId="3013A92B" w14:textId="77777777" w:rsid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7C0A">
        <w:rPr>
          <w:rFonts w:ascii="Arial" w:hAnsi="Arial" w:cs="Arial"/>
        </w:rPr>
        <w:t xml:space="preserve">- </w:t>
      </w:r>
      <w:proofErr w:type="gramStart"/>
      <w:r w:rsidRPr="00537C0A">
        <w:rPr>
          <w:rFonts w:ascii="Arial" w:hAnsi="Arial" w:cs="Arial"/>
        </w:rPr>
        <w:t>EP - jiné</w:t>
      </w:r>
      <w:proofErr w:type="gramEnd"/>
      <w:r w:rsidRPr="00537C0A">
        <w:rPr>
          <w:rFonts w:ascii="Arial" w:hAnsi="Arial" w:cs="Arial"/>
        </w:rPr>
        <w:t xml:space="preserve"> majetkové právo, </w:t>
      </w:r>
    </w:p>
    <w:p w14:paraId="12198CD1" w14:textId="77777777" w:rsidR="00537C0A" w:rsidRP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7C0A">
        <w:rPr>
          <w:rFonts w:ascii="Arial" w:hAnsi="Arial" w:cs="Arial"/>
        </w:rPr>
        <w:t xml:space="preserve">- </w:t>
      </w:r>
      <w:proofErr w:type="gramStart"/>
      <w:r w:rsidRPr="00537C0A">
        <w:rPr>
          <w:rFonts w:ascii="Arial" w:hAnsi="Arial" w:cs="Arial"/>
        </w:rPr>
        <w:t>EP - prodejem</w:t>
      </w:r>
      <w:proofErr w:type="gramEnd"/>
      <w:r w:rsidRPr="00537C0A">
        <w:rPr>
          <w:rFonts w:ascii="Arial" w:hAnsi="Arial" w:cs="Arial"/>
        </w:rPr>
        <w:t xml:space="preserve"> movitých věcí, </w:t>
      </w:r>
    </w:p>
    <w:p w14:paraId="793BDAA8" w14:textId="77777777" w:rsidR="00537C0A" w:rsidRP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7C0A">
        <w:rPr>
          <w:rFonts w:ascii="Arial" w:hAnsi="Arial" w:cs="Arial"/>
        </w:rPr>
        <w:t xml:space="preserve">- EP – prodej nemovitých věcí; </w:t>
      </w:r>
    </w:p>
    <w:p w14:paraId="084049BC" w14:textId="77777777" w:rsidR="00537C0A" w:rsidRP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7C0A">
        <w:rPr>
          <w:rFonts w:ascii="Arial" w:hAnsi="Arial" w:cs="Arial"/>
        </w:rPr>
        <w:t xml:space="preserve">9) Počet nařízených dražeb nemovitých věcí v rámci daňových exekucí jednotlivě za roky 2022, 2023 a 2024; </w:t>
      </w:r>
    </w:p>
    <w:p w14:paraId="25595796" w14:textId="77777777" w:rsidR="00537C0A" w:rsidRP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7C0A">
        <w:rPr>
          <w:rFonts w:ascii="Arial" w:hAnsi="Arial" w:cs="Arial"/>
        </w:rPr>
        <w:t xml:space="preserve">10) Počet nařízených dražeb movitých věcí v rámci daňových exekucí jednotlivě za roky 2022, 2023 a 2024; </w:t>
      </w:r>
    </w:p>
    <w:p w14:paraId="6F81E85C" w14:textId="77777777" w:rsidR="00537C0A" w:rsidRP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7C0A">
        <w:rPr>
          <w:rFonts w:ascii="Arial" w:hAnsi="Arial" w:cs="Arial"/>
        </w:rPr>
        <w:t xml:space="preserve">11) Počet provedených soupisů movitých věcí v rámci vedených daňových exekucí jednotlivě v letech 2022, 2023 a 2024. </w:t>
      </w:r>
    </w:p>
    <w:p w14:paraId="6B64DA28" w14:textId="77777777" w:rsidR="00537C0A" w:rsidRP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5E13A5" w14:textId="7D4DB58D" w:rsid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Odpověď: </w:t>
      </w:r>
    </w:p>
    <w:p w14:paraId="47141F43" w14:textId="77777777" w:rsidR="00537C0A" w:rsidRPr="00E5536C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5536C">
        <w:rPr>
          <w:rFonts w:ascii="Arial" w:hAnsi="Arial" w:cs="Arial"/>
          <w:b/>
          <w:bCs/>
        </w:rPr>
        <w:t xml:space="preserve">Ad 1) až 3) </w:t>
      </w:r>
    </w:p>
    <w:p w14:paraId="6A0033B1" w14:textId="7BFD406D" w:rsidR="00537C0A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Poskytujeme Vám celkový počet zaměstnanců zařazených dle personálního informačního systému v odděleních a odborech zajišťujících vymáhání a zajišťování daňových nedoplatků, vč. informace o neobsazených pozicích. Informace je poskytována v členění dle jednotlivých platových tříd, a to k 1. 2. 2025. Celkový součet všech pozic, jak obsazených, tak neobsazených, je 960. 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1"/>
        <w:gridCol w:w="660"/>
        <w:gridCol w:w="850"/>
        <w:gridCol w:w="709"/>
        <w:gridCol w:w="709"/>
        <w:gridCol w:w="850"/>
        <w:gridCol w:w="567"/>
        <w:gridCol w:w="567"/>
        <w:gridCol w:w="1246"/>
      </w:tblGrid>
      <w:tr w:rsidR="00537C0A" w:rsidRPr="001A5180" w14:paraId="59E44BE0" w14:textId="77777777" w:rsidTr="00257CAF">
        <w:trPr>
          <w:trHeight w:val="751"/>
        </w:trPr>
        <w:tc>
          <w:tcPr>
            <w:tcW w:w="3021" w:type="dxa"/>
            <w:shd w:val="clear" w:color="auto" w:fill="95DCF7" w:themeFill="accent4" w:themeFillTint="66"/>
            <w:vAlign w:val="center"/>
            <w:hideMark/>
          </w:tcPr>
          <w:p w14:paraId="24CBEBCA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912" w:type="dxa"/>
            <w:gridSpan w:val="7"/>
            <w:shd w:val="clear" w:color="auto" w:fill="95DCF7" w:themeFill="accent4" w:themeFillTint="66"/>
            <w:noWrap/>
            <w:vAlign w:val="center"/>
            <w:hideMark/>
          </w:tcPr>
          <w:p w14:paraId="3E2159BB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Obsazená systemizovaná místa</w:t>
            </w:r>
          </w:p>
        </w:tc>
        <w:tc>
          <w:tcPr>
            <w:tcW w:w="1246" w:type="dxa"/>
            <w:vMerge w:val="restart"/>
            <w:shd w:val="clear" w:color="auto" w:fill="95DCF7" w:themeFill="accent4" w:themeFillTint="66"/>
            <w:vAlign w:val="center"/>
            <w:hideMark/>
          </w:tcPr>
          <w:p w14:paraId="207C415D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Celkový součet</w:t>
            </w:r>
          </w:p>
        </w:tc>
      </w:tr>
      <w:tr w:rsidR="00537C0A" w:rsidRPr="00623935" w14:paraId="2837C34C" w14:textId="77777777" w:rsidTr="00257CAF">
        <w:trPr>
          <w:trHeight w:val="342"/>
        </w:trPr>
        <w:tc>
          <w:tcPr>
            <w:tcW w:w="3021" w:type="dxa"/>
            <w:shd w:val="clear" w:color="auto" w:fill="CAEDFB" w:themeFill="accent4" w:themeFillTint="33"/>
            <w:noWrap/>
            <w:vAlign w:val="bottom"/>
            <w:hideMark/>
          </w:tcPr>
          <w:p w14:paraId="263FA7F8" w14:textId="77777777" w:rsidR="00537C0A" w:rsidRPr="001A5180" w:rsidRDefault="00537C0A" w:rsidP="00257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P</w:t>
            </w:r>
            <w:r w:rsidRPr="001A5180">
              <w:rPr>
                <w:rFonts w:ascii="Arial" w:eastAsia="Times New Roman" w:hAnsi="Arial" w:cs="Arial"/>
                <w:b/>
                <w:bCs/>
                <w:lang w:eastAsia="cs-CZ"/>
              </w:rPr>
              <w:t>latov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á</w:t>
            </w:r>
            <w:r w:rsidRPr="001A518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tříd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a</w:t>
            </w:r>
          </w:p>
        </w:tc>
        <w:tc>
          <w:tcPr>
            <w:tcW w:w="660" w:type="dxa"/>
            <w:shd w:val="clear" w:color="auto" w:fill="CAEDFB" w:themeFill="accent4" w:themeFillTint="33"/>
            <w:noWrap/>
            <w:vAlign w:val="bottom"/>
            <w:hideMark/>
          </w:tcPr>
          <w:p w14:paraId="731B9587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850" w:type="dxa"/>
            <w:shd w:val="clear" w:color="auto" w:fill="CAEDFB" w:themeFill="accent4" w:themeFillTint="33"/>
            <w:noWrap/>
            <w:vAlign w:val="bottom"/>
            <w:hideMark/>
          </w:tcPr>
          <w:p w14:paraId="04446457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709" w:type="dxa"/>
            <w:shd w:val="clear" w:color="auto" w:fill="CAEDFB" w:themeFill="accent4" w:themeFillTint="33"/>
            <w:noWrap/>
            <w:vAlign w:val="bottom"/>
            <w:hideMark/>
          </w:tcPr>
          <w:p w14:paraId="4ECA20AA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709" w:type="dxa"/>
            <w:shd w:val="clear" w:color="auto" w:fill="CAEDFB" w:themeFill="accent4" w:themeFillTint="33"/>
            <w:noWrap/>
            <w:vAlign w:val="bottom"/>
            <w:hideMark/>
          </w:tcPr>
          <w:p w14:paraId="3B540967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850" w:type="dxa"/>
            <w:shd w:val="clear" w:color="auto" w:fill="CAEDFB" w:themeFill="accent4" w:themeFillTint="33"/>
            <w:noWrap/>
            <w:vAlign w:val="bottom"/>
            <w:hideMark/>
          </w:tcPr>
          <w:p w14:paraId="21F9809F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567" w:type="dxa"/>
            <w:shd w:val="clear" w:color="auto" w:fill="CAEDFB" w:themeFill="accent4" w:themeFillTint="33"/>
            <w:noWrap/>
            <w:vAlign w:val="bottom"/>
            <w:hideMark/>
          </w:tcPr>
          <w:p w14:paraId="7BC8232F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14</w:t>
            </w:r>
          </w:p>
        </w:tc>
        <w:tc>
          <w:tcPr>
            <w:tcW w:w="567" w:type="dxa"/>
            <w:shd w:val="clear" w:color="auto" w:fill="CAEDFB" w:themeFill="accent4" w:themeFillTint="33"/>
            <w:noWrap/>
            <w:vAlign w:val="bottom"/>
            <w:hideMark/>
          </w:tcPr>
          <w:p w14:paraId="47FAB098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15</w:t>
            </w:r>
          </w:p>
        </w:tc>
        <w:tc>
          <w:tcPr>
            <w:tcW w:w="1246" w:type="dxa"/>
            <w:vMerge/>
            <w:vAlign w:val="center"/>
            <w:hideMark/>
          </w:tcPr>
          <w:p w14:paraId="77558E0F" w14:textId="77777777" w:rsidR="00537C0A" w:rsidRPr="001A5180" w:rsidRDefault="00537C0A" w:rsidP="00257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537C0A" w:rsidRPr="00623935" w14:paraId="7132359F" w14:textId="77777777" w:rsidTr="00257CAF">
        <w:trPr>
          <w:trHeight w:val="342"/>
        </w:trPr>
        <w:tc>
          <w:tcPr>
            <w:tcW w:w="3021" w:type="dxa"/>
            <w:shd w:val="clear" w:color="auto" w:fill="auto"/>
            <w:noWrap/>
            <w:vAlign w:val="bottom"/>
            <w:hideMark/>
          </w:tcPr>
          <w:p w14:paraId="7E4BF92C" w14:textId="77777777" w:rsidR="00537C0A" w:rsidRPr="001A5180" w:rsidRDefault="00537C0A" w:rsidP="00257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Pr="001A5180">
              <w:rPr>
                <w:rFonts w:ascii="Arial" w:eastAsia="Times New Roman" w:hAnsi="Arial" w:cs="Arial"/>
                <w:color w:val="000000"/>
                <w:lang w:eastAsia="cs-CZ"/>
              </w:rPr>
              <w:t xml:space="preserve">očet systemizovaných míst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3A30086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color w:val="000000"/>
                <w:lang w:eastAsia="cs-CZ"/>
              </w:rPr>
              <w:t>221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57F21D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color w:val="000000"/>
                <w:lang w:eastAsia="cs-CZ"/>
              </w:rPr>
              <w:t>381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F02FC8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color w:val="000000"/>
                <w:lang w:eastAsia="cs-CZ"/>
              </w:rPr>
              <w:t>137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65DF0D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color w:val="000000"/>
                <w:lang w:eastAsia="cs-CZ"/>
              </w:rPr>
              <w:t>122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2AD5EE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color w:val="000000"/>
                <w:lang w:eastAsia="cs-CZ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5DEDFE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7FFDA5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68326AA5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893</w:t>
            </w:r>
          </w:p>
        </w:tc>
      </w:tr>
      <w:tr w:rsidR="00537C0A" w:rsidRPr="00623935" w14:paraId="7D4784D7" w14:textId="77777777" w:rsidTr="00257CAF">
        <w:trPr>
          <w:trHeight w:val="342"/>
        </w:trPr>
        <w:tc>
          <w:tcPr>
            <w:tcW w:w="3021" w:type="dxa"/>
            <w:shd w:val="clear" w:color="auto" w:fill="95DCF7" w:themeFill="accent4" w:themeFillTint="66"/>
            <w:noWrap/>
            <w:vAlign w:val="bottom"/>
            <w:hideMark/>
          </w:tcPr>
          <w:p w14:paraId="2E40145E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12" w:type="dxa"/>
            <w:gridSpan w:val="7"/>
            <w:shd w:val="clear" w:color="auto" w:fill="95DCF7" w:themeFill="accent4" w:themeFillTint="66"/>
            <w:noWrap/>
            <w:vAlign w:val="center"/>
            <w:hideMark/>
          </w:tcPr>
          <w:p w14:paraId="6B5A1A82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Neobsazená systemizovaná místa</w:t>
            </w:r>
            <w:r w:rsidRPr="001A51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46" w:type="dxa"/>
            <w:vMerge w:val="restart"/>
            <w:shd w:val="clear" w:color="auto" w:fill="95DCF7" w:themeFill="accent4" w:themeFillTint="66"/>
            <w:noWrap/>
            <w:vAlign w:val="bottom"/>
            <w:hideMark/>
          </w:tcPr>
          <w:p w14:paraId="7AB7EE8D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Celkový součet</w:t>
            </w:r>
            <w:r w:rsidRPr="001A518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537C0A" w:rsidRPr="00623935" w14:paraId="492FE3C2" w14:textId="77777777" w:rsidTr="00257CAF">
        <w:trPr>
          <w:trHeight w:val="342"/>
        </w:trPr>
        <w:tc>
          <w:tcPr>
            <w:tcW w:w="3021" w:type="dxa"/>
            <w:shd w:val="clear" w:color="auto" w:fill="CAEDFB" w:themeFill="accent4" w:themeFillTint="33"/>
            <w:noWrap/>
            <w:vAlign w:val="bottom"/>
            <w:hideMark/>
          </w:tcPr>
          <w:p w14:paraId="3BC0226B" w14:textId="77777777" w:rsidR="00537C0A" w:rsidRPr="001A5180" w:rsidRDefault="00537C0A" w:rsidP="00257C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P</w:t>
            </w:r>
            <w:r w:rsidRPr="001A5180">
              <w:rPr>
                <w:rFonts w:ascii="Arial" w:eastAsia="Times New Roman" w:hAnsi="Arial" w:cs="Arial"/>
                <w:b/>
                <w:bCs/>
                <w:lang w:eastAsia="cs-CZ"/>
              </w:rPr>
              <w:t>latov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á</w:t>
            </w:r>
            <w:r w:rsidRPr="001A518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tříd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a</w:t>
            </w:r>
          </w:p>
        </w:tc>
        <w:tc>
          <w:tcPr>
            <w:tcW w:w="660" w:type="dxa"/>
            <w:shd w:val="clear" w:color="auto" w:fill="CAEDFB" w:themeFill="accent4" w:themeFillTint="33"/>
            <w:noWrap/>
            <w:vAlign w:val="bottom"/>
            <w:hideMark/>
          </w:tcPr>
          <w:p w14:paraId="54F53584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850" w:type="dxa"/>
            <w:shd w:val="clear" w:color="auto" w:fill="CAEDFB" w:themeFill="accent4" w:themeFillTint="33"/>
            <w:noWrap/>
            <w:vAlign w:val="bottom"/>
            <w:hideMark/>
          </w:tcPr>
          <w:p w14:paraId="5E12F034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709" w:type="dxa"/>
            <w:shd w:val="clear" w:color="auto" w:fill="CAEDFB" w:themeFill="accent4" w:themeFillTint="33"/>
            <w:noWrap/>
            <w:vAlign w:val="bottom"/>
            <w:hideMark/>
          </w:tcPr>
          <w:p w14:paraId="1795E045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709" w:type="dxa"/>
            <w:shd w:val="clear" w:color="auto" w:fill="CAEDFB" w:themeFill="accent4" w:themeFillTint="33"/>
            <w:noWrap/>
            <w:vAlign w:val="bottom"/>
            <w:hideMark/>
          </w:tcPr>
          <w:p w14:paraId="6BC987B0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850" w:type="dxa"/>
            <w:shd w:val="clear" w:color="auto" w:fill="CAEDFB" w:themeFill="accent4" w:themeFillTint="33"/>
            <w:noWrap/>
            <w:vAlign w:val="bottom"/>
            <w:hideMark/>
          </w:tcPr>
          <w:p w14:paraId="2D6755DD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gridSpan w:val="2"/>
            <w:shd w:val="clear" w:color="auto" w:fill="CAEDFB" w:themeFill="accent4" w:themeFillTint="33"/>
            <w:noWrap/>
            <w:vAlign w:val="bottom"/>
            <w:hideMark/>
          </w:tcPr>
          <w:p w14:paraId="7055BA8D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14</w:t>
            </w:r>
          </w:p>
        </w:tc>
        <w:tc>
          <w:tcPr>
            <w:tcW w:w="1246" w:type="dxa"/>
            <w:vMerge/>
            <w:shd w:val="clear" w:color="auto" w:fill="auto"/>
            <w:noWrap/>
            <w:vAlign w:val="bottom"/>
            <w:hideMark/>
          </w:tcPr>
          <w:p w14:paraId="23E2A710" w14:textId="77777777" w:rsidR="00537C0A" w:rsidRPr="001A5180" w:rsidRDefault="00537C0A" w:rsidP="00257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37C0A" w:rsidRPr="00623935" w14:paraId="3C469FF2" w14:textId="77777777" w:rsidTr="00257CAF">
        <w:trPr>
          <w:trHeight w:val="342"/>
        </w:trPr>
        <w:tc>
          <w:tcPr>
            <w:tcW w:w="3021" w:type="dxa"/>
            <w:shd w:val="clear" w:color="auto" w:fill="auto"/>
            <w:noWrap/>
            <w:vAlign w:val="bottom"/>
            <w:hideMark/>
          </w:tcPr>
          <w:p w14:paraId="4D41663D" w14:textId="77777777" w:rsidR="00537C0A" w:rsidRPr="001A5180" w:rsidRDefault="00537C0A" w:rsidP="00257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Pr="001A5180">
              <w:rPr>
                <w:rFonts w:ascii="Arial" w:eastAsia="Times New Roman" w:hAnsi="Arial" w:cs="Arial"/>
                <w:color w:val="000000"/>
                <w:lang w:eastAsia="cs-CZ"/>
              </w:rPr>
              <w:t>očet systemizovaných míst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0FC070D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color w:val="000000"/>
                <w:lang w:eastAsia="cs-CZ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A77635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color w:val="000000"/>
                <w:lang w:eastAsia="cs-CZ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6EAC18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CCCA38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769459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D25D12E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6ED6AA0D" w14:textId="77777777" w:rsidR="00537C0A" w:rsidRPr="001A5180" w:rsidRDefault="00537C0A" w:rsidP="00257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A518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67</w:t>
            </w:r>
          </w:p>
        </w:tc>
      </w:tr>
    </w:tbl>
    <w:p w14:paraId="7C72DE0D" w14:textId="77777777" w:rsidR="00537C0A" w:rsidRPr="00623935" w:rsidRDefault="00537C0A" w:rsidP="00537C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DBDA270" w14:textId="77777777" w:rsidR="00537C0A" w:rsidRPr="00E5536C" w:rsidRDefault="00537C0A" w:rsidP="00537C0A">
      <w:pPr>
        <w:jc w:val="both"/>
        <w:rPr>
          <w:rFonts w:ascii="Arial" w:hAnsi="Arial" w:cs="Arial"/>
          <w:b/>
          <w:bCs/>
        </w:rPr>
      </w:pPr>
      <w:r w:rsidRPr="00E5536C">
        <w:rPr>
          <w:rFonts w:ascii="Arial" w:hAnsi="Arial" w:cs="Arial"/>
          <w:b/>
          <w:bCs/>
        </w:rPr>
        <w:t>Ad 4) až 7)</w:t>
      </w:r>
    </w:p>
    <w:p w14:paraId="4F0D9D7F" w14:textId="77777777" w:rsidR="00537C0A" w:rsidRDefault="00537C0A" w:rsidP="00537C0A">
      <w:pPr>
        <w:jc w:val="both"/>
        <w:rPr>
          <w:rFonts w:ascii="Arial" w:hAnsi="Arial" w:cs="Arial"/>
        </w:rPr>
      </w:pPr>
      <w:r w:rsidRPr="002C4FB6">
        <w:rPr>
          <w:rFonts w:ascii="Arial" w:hAnsi="Arial" w:cs="Arial"/>
        </w:rPr>
        <w:t>K </w:t>
      </w:r>
      <w:r>
        <w:rPr>
          <w:rFonts w:ascii="Arial" w:hAnsi="Arial" w:cs="Arial"/>
        </w:rPr>
        <w:t>níže</w:t>
      </w:r>
      <w:r w:rsidRPr="002C4FB6">
        <w:rPr>
          <w:rFonts w:ascii="Arial" w:hAnsi="Arial" w:cs="Arial"/>
        </w:rPr>
        <w:t xml:space="preserve"> poskyt</w:t>
      </w:r>
      <w:r>
        <w:rPr>
          <w:rFonts w:ascii="Arial" w:hAnsi="Arial" w:cs="Arial"/>
        </w:rPr>
        <w:t>ovan</w:t>
      </w:r>
      <w:r w:rsidRPr="002C4FB6">
        <w:rPr>
          <w:rFonts w:ascii="Arial" w:hAnsi="Arial" w:cs="Arial"/>
        </w:rPr>
        <w:t xml:space="preserve">ým údajům uvádíme, že </w:t>
      </w:r>
      <w:r>
        <w:rPr>
          <w:rFonts w:ascii="Arial" w:hAnsi="Arial" w:cs="Arial"/>
        </w:rPr>
        <w:t>O</w:t>
      </w:r>
      <w:r w:rsidRPr="002C4FB6">
        <w:rPr>
          <w:rFonts w:ascii="Arial" w:hAnsi="Arial" w:cs="Arial"/>
        </w:rPr>
        <w:t>FS se při správě daní řídí zákonem č. 280/2009 Sb., daňový řád, který vymáhání pohledávek neupravuje stejným způsobem, jako zákon č.</w:t>
      </w:r>
      <w:r>
        <w:rPr>
          <w:rFonts w:ascii="Arial" w:hAnsi="Arial" w:cs="Arial"/>
        </w:rPr>
        <w:t> </w:t>
      </w:r>
      <w:r w:rsidRPr="002C4FB6">
        <w:rPr>
          <w:rFonts w:ascii="Arial" w:hAnsi="Arial" w:cs="Arial"/>
        </w:rPr>
        <w:t>120/2001 Sb., exekuční řád</w:t>
      </w:r>
      <w:r>
        <w:rPr>
          <w:rFonts w:ascii="Arial" w:hAnsi="Arial" w:cs="Arial"/>
        </w:rPr>
        <w:t xml:space="preserve">. </w:t>
      </w:r>
    </w:p>
    <w:p w14:paraId="585FDFCF" w14:textId="77777777" w:rsidR="00537C0A" w:rsidRPr="002C4FB6" w:rsidRDefault="00537C0A" w:rsidP="00537C0A">
      <w:pPr>
        <w:jc w:val="both"/>
        <w:rPr>
          <w:rFonts w:ascii="Arial" w:hAnsi="Arial" w:cs="Arial"/>
        </w:rPr>
      </w:pPr>
      <w:r w:rsidRPr="002C4FB6">
        <w:rPr>
          <w:rFonts w:ascii="Arial" w:hAnsi="Arial" w:cs="Arial"/>
        </w:rPr>
        <w:t>Evidence a vymáhání daňových pohledávek se primárně vztahují k daňovému subjektu a</w:t>
      </w:r>
      <w:r>
        <w:rPr>
          <w:rFonts w:ascii="Arial" w:hAnsi="Arial" w:cs="Arial"/>
        </w:rPr>
        <w:t> </w:t>
      </w:r>
      <w:r w:rsidRPr="002C4FB6">
        <w:rPr>
          <w:rFonts w:ascii="Arial" w:hAnsi="Arial" w:cs="Arial"/>
        </w:rPr>
        <w:t xml:space="preserve">k jeho osobnímu daňovému účtu. Na osobním daňovém účtu správce daně eviduje veškeré daňové povinnosti a úhrady daňového subjektu a tento účet je správcem daně veden pro každý daňový subjekt a za každý druh daně zvlášť. Jeden daňový subjekt může mít několik osobních daňových účtů. Nejde tedy o evidenci a vymáhání k jednotlivé věci (ať by byla </w:t>
      </w:r>
      <w:r>
        <w:rPr>
          <w:rFonts w:ascii="Arial" w:hAnsi="Arial" w:cs="Arial"/>
        </w:rPr>
        <w:t>určena</w:t>
      </w:r>
      <w:r w:rsidRPr="002C4FB6">
        <w:rPr>
          <w:rFonts w:ascii="Arial" w:hAnsi="Arial" w:cs="Arial"/>
        </w:rPr>
        <w:t xml:space="preserve"> jakkoliv, třeba jedním přiznáním k dani, nebo zdaňovacím obdobím, nebo rozhodnutím správce daně), ale o evidenci na osobních daňových účtech trvající a kontinuální se měnící; v případech některých poplatníků i desítky let.</w:t>
      </w:r>
    </w:p>
    <w:p w14:paraId="7119FDC2" w14:textId="77777777" w:rsidR="00537C0A" w:rsidRDefault="00537C0A" w:rsidP="00537C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C4FB6">
        <w:rPr>
          <w:rFonts w:ascii="Arial" w:hAnsi="Arial" w:cs="Arial"/>
        </w:rPr>
        <w:t>tatistické výstupy vymáhaných a vymožených daňových pohledávek (nedoplatků)</w:t>
      </w:r>
      <w:r w:rsidRPr="002C4FB6"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</w:rPr>
        <w:t>vyplývají</w:t>
      </w:r>
      <w:r w:rsidRPr="002C4FB6">
        <w:rPr>
          <w:rFonts w:ascii="Arial" w:hAnsi="Arial" w:cs="Arial"/>
        </w:rPr>
        <w:t xml:space="preserve"> z osobních daňových účtů a jsou sestavovány s daty „ke dni“, případně s daty „za období“ (tj.</w:t>
      </w:r>
      <w:r>
        <w:rPr>
          <w:rFonts w:ascii="Arial" w:hAnsi="Arial" w:cs="Arial"/>
        </w:rPr>
        <w:t> </w:t>
      </w:r>
      <w:r w:rsidRPr="002C4FB6">
        <w:rPr>
          <w:rFonts w:ascii="Arial" w:hAnsi="Arial" w:cs="Arial"/>
        </w:rPr>
        <w:t>časový interval od počátku kalendářního roku)</w:t>
      </w:r>
      <w:r w:rsidRPr="002C4FB6">
        <w:rPr>
          <w:rFonts w:ascii="Arial" w:hAnsi="Arial" w:cs="Arial"/>
          <w:color w:val="1F497D"/>
        </w:rPr>
        <w:t>.</w:t>
      </w:r>
      <w:r w:rsidRPr="004E7C17">
        <w:rPr>
          <w:rFonts w:ascii="Arial" w:hAnsi="Arial" w:cs="Arial"/>
        </w:rPr>
        <w:t xml:space="preserve"> </w:t>
      </w:r>
    </w:p>
    <w:p w14:paraId="0D28FB75" w14:textId="77777777" w:rsidR="00537C0A" w:rsidRPr="002C4FB6" w:rsidRDefault="00537C0A" w:rsidP="00537C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Nutno též doplnit, že ú</w:t>
      </w:r>
      <w:r w:rsidRPr="002C4FB6">
        <w:rPr>
          <w:rFonts w:ascii="Arial" w:hAnsi="Arial" w:cs="Arial"/>
        </w:rPr>
        <w:t xml:space="preserve">daje </w:t>
      </w:r>
      <w:r>
        <w:rPr>
          <w:rFonts w:ascii="Arial" w:hAnsi="Arial" w:cs="Arial"/>
        </w:rPr>
        <w:t xml:space="preserve">k těmto bodům jsou </w:t>
      </w:r>
      <w:r w:rsidRPr="002C4FB6">
        <w:rPr>
          <w:rFonts w:ascii="Arial" w:hAnsi="Arial" w:cs="Arial"/>
        </w:rPr>
        <w:t>do roku 2023 k dispozici ve</w:t>
      </w:r>
      <w:r>
        <w:rPr>
          <w:rFonts w:ascii="Arial" w:hAnsi="Arial" w:cs="Arial"/>
        </w:rPr>
        <w:t> </w:t>
      </w:r>
      <w:r w:rsidRPr="002C4FB6">
        <w:rPr>
          <w:rFonts w:ascii="Arial" w:hAnsi="Arial" w:cs="Arial"/>
        </w:rPr>
        <w:t>Zprávách o</w:t>
      </w:r>
      <w:r>
        <w:rPr>
          <w:rFonts w:ascii="Arial" w:hAnsi="Arial" w:cs="Arial"/>
        </w:rPr>
        <w:t> </w:t>
      </w:r>
      <w:r w:rsidRPr="002C4FB6">
        <w:rPr>
          <w:rFonts w:ascii="Arial" w:hAnsi="Arial" w:cs="Arial"/>
        </w:rPr>
        <w:t>činnosti Finanční správy České republiky a Celní správy České republiky na</w:t>
      </w:r>
      <w:r>
        <w:rPr>
          <w:rFonts w:ascii="Arial" w:hAnsi="Arial" w:cs="Arial"/>
        </w:rPr>
        <w:t> </w:t>
      </w:r>
      <w:r w:rsidRPr="002C4FB6">
        <w:rPr>
          <w:rFonts w:ascii="Arial" w:hAnsi="Arial" w:cs="Arial"/>
        </w:rPr>
        <w:t>webu Ministerstva financí</w:t>
      </w:r>
      <w:r>
        <w:rPr>
          <w:rFonts w:ascii="Arial" w:hAnsi="Arial" w:cs="Arial"/>
        </w:rPr>
        <w:t xml:space="preserve">, k nalezení zde: </w:t>
      </w:r>
      <w:hyperlink r:id="rId4" w:history="1">
        <w:r w:rsidRPr="00435571">
          <w:rPr>
            <w:rStyle w:val="Hypertextovodkaz"/>
            <w:rFonts w:ascii="Arial" w:hAnsi="Arial" w:cs="Arial"/>
          </w:rPr>
          <w:t>https://www.mfcr.cz/cs/dane-a-ucetnictvi/dane/danove-a-celni-statistiky/zpravy-o-cinnosti-financni-a-celni-sprav/2023</w:t>
        </w:r>
      </w:hyperlink>
      <w:r>
        <w:rPr>
          <w:rFonts w:ascii="Arial" w:hAnsi="Arial" w:cs="Arial"/>
        </w:rPr>
        <w:t>.</w:t>
      </w:r>
    </w:p>
    <w:p w14:paraId="78437445" w14:textId="77777777" w:rsidR="00537C0A" w:rsidRPr="00E143A5" w:rsidRDefault="00537C0A" w:rsidP="00537C0A">
      <w:pPr>
        <w:jc w:val="both"/>
        <w:rPr>
          <w:rFonts w:ascii="Arial" w:hAnsi="Arial" w:cs="Arial"/>
          <w:b/>
          <w:bCs/>
        </w:rPr>
      </w:pPr>
      <w:r w:rsidRPr="00E143A5">
        <w:rPr>
          <w:rFonts w:ascii="Arial" w:hAnsi="Arial" w:cs="Arial"/>
          <w:b/>
          <w:bCs/>
        </w:rPr>
        <w:t xml:space="preserve">Ad 4) </w:t>
      </w:r>
    </w:p>
    <w:p w14:paraId="4ED060D2" w14:textId="77777777" w:rsidR="00537C0A" w:rsidRPr="002C4FB6" w:rsidRDefault="00537C0A" w:rsidP="00537C0A">
      <w:pPr>
        <w:jc w:val="both"/>
        <w:rPr>
          <w:rFonts w:ascii="Arial" w:hAnsi="Arial" w:cs="Arial"/>
        </w:rPr>
      </w:pPr>
      <w:r w:rsidRPr="002C4FB6">
        <w:rPr>
          <w:rFonts w:ascii="Arial" w:hAnsi="Arial" w:cs="Arial"/>
        </w:rPr>
        <w:t>Poskytujeme</w:t>
      </w:r>
      <w:r>
        <w:rPr>
          <w:rFonts w:ascii="Arial" w:hAnsi="Arial" w:cs="Arial"/>
        </w:rPr>
        <w:t xml:space="preserve"> Vám </w:t>
      </w:r>
      <w:r w:rsidRPr="002C4FB6">
        <w:rPr>
          <w:rFonts w:ascii="Arial" w:hAnsi="Arial" w:cs="Arial"/>
        </w:rPr>
        <w:t xml:space="preserve">údaje </w:t>
      </w:r>
      <w:r>
        <w:rPr>
          <w:rFonts w:ascii="Arial" w:hAnsi="Arial" w:cs="Arial"/>
        </w:rPr>
        <w:t>o</w:t>
      </w:r>
      <w:r w:rsidRPr="002C4FB6">
        <w:rPr>
          <w:rFonts w:ascii="Arial" w:hAnsi="Arial" w:cs="Arial"/>
        </w:rPr>
        <w:t xml:space="preserve"> počtu osobních daňových účtů s evidovanými daňovými nedoplatky ke dni 31. 12. 2024 a k 31. 1. 2025. </w:t>
      </w:r>
    </w:p>
    <w:p w14:paraId="2B1F258B" w14:textId="77777777" w:rsidR="00537C0A" w:rsidRPr="002C4FB6" w:rsidRDefault="00537C0A" w:rsidP="00537C0A">
      <w:pPr>
        <w:jc w:val="both"/>
        <w:rPr>
          <w:rFonts w:ascii="Arial" w:hAnsi="Arial" w:cs="Arial"/>
        </w:rPr>
      </w:pPr>
      <w:r w:rsidRPr="002C4FB6">
        <w:rPr>
          <w:rFonts w:ascii="Arial" w:hAnsi="Arial" w:cs="Arial"/>
        </w:rPr>
        <w:t xml:space="preserve">Inkaso daně není daňovou pohledávkou po splatnosti, ale zůstatkem na bankovních účtech jednotlivých daní, tj. rozdílem mezi přijatými platbami </w:t>
      </w:r>
      <w:r>
        <w:rPr>
          <w:rFonts w:ascii="Arial" w:hAnsi="Arial" w:cs="Arial"/>
        </w:rPr>
        <w:t>úhrad</w:t>
      </w:r>
      <w:r w:rsidRPr="002C4FB6">
        <w:rPr>
          <w:rFonts w:ascii="Arial" w:hAnsi="Arial" w:cs="Arial"/>
        </w:rPr>
        <w:t xml:space="preserve"> daňové povinnosti, případně příslušenství daně, a odchozími platbami, tzv. vratkami daně.</w:t>
      </w:r>
    </w:p>
    <w:tbl>
      <w:tblPr>
        <w:tblW w:w="9188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7"/>
        <w:gridCol w:w="1701"/>
        <w:gridCol w:w="1540"/>
      </w:tblGrid>
      <w:tr w:rsidR="00537C0A" w:rsidRPr="002C4FB6" w14:paraId="750A2CA5" w14:textId="77777777" w:rsidTr="00257CAF">
        <w:trPr>
          <w:trHeight w:val="481"/>
        </w:trPr>
        <w:tc>
          <w:tcPr>
            <w:tcW w:w="5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00363" w14:textId="77777777" w:rsidR="00537C0A" w:rsidRPr="002C4FB6" w:rsidRDefault="00537C0A" w:rsidP="00257CAF">
            <w:pPr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S</w:t>
            </w:r>
            <w:r w:rsidRPr="002C4FB6">
              <w:rPr>
                <w:rFonts w:ascii="Arial" w:hAnsi="Arial" w:cs="Arial"/>
                <w:b/>
                <w:bCs/>
                <w:lang w:eastAsia="cs-CZ"/>
              </w:rPr>
              <w:t>tav ke dni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EC827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lang w:eastAsia="cs-CZ"/>
              </w:rPr>
              <w:t>31. 12. 2024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115C2E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lang w:eastAsia="cs-CZ"/>
              </w:rPr>
              <w:t>31. 1. 2025</w:t>
            </w:r>
          </w:p>
        </w:tc>
      </w:tr>
      <w:tr w:rsidR="00537C0A" w:rsidRPr="002C4FB6" w14:paraId="2B0428ED" w14:textId="77777777" w:rsidTr="00257CAF">
        <w:trPr>
          <w:trHeight w:val="545"/>
        </w:trPr>
        <w:tc>
          <w:tcPr>
            <w:tcW w:w="5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FB147" w14:textId="77777777" w:rsidR="00537C0A" w:rsidRPr="002C4FB6" w:rsidRDefault="00537C0A" w:rsidP="00257CAF">
            <w:pPr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lang w:eastAsia="cs-CZ"/>
              </w:rPr>
              <w:t>Počet aktivních osobních daňových účtů s nedoplatky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0A3AB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lang w:eastAsia="cs-CZ"/>
              </w:rPr>
            </w:pPr>
            <w:r w:rsidRPr="00AF5556">
              <w:rPr>
                <w:rFonts w:ascii="Arial" w:hAnsi="Arial" w:cs="Arial"/>
                <w:lang w:eastAsia="cs-CZ"/>
              </w:rPr>
              <w:t>418 020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3BDC7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lang w:eastAsia="cs-CZ"/>
              </w:rPr>
            </w:pPr>
            <w:r w:rsidRPr="00AF5556">
              <w:rPr>
                <w:rFonts w:ascii="Arial" w:hAnsi="Arial" w:cs="Arial"/>
                <w:lang w:eastAsia="cs-CZ"/>
              </w:rPr>
              <w:t>415 742</w:t>
            </w:r>
          </w:p>
        </w:tc>
      </w:tr>
    </w:tbl>
    <w:p w14:paraId="59A2D753" w14:textId="77777777" w:rsidR="00537C0A" w:rsidRPr="00E5536C" w:rsidRDefault="00537C0A" w:rsidP="00537C0A">
      <w:pPr>
        <w:jc w:val="both"/>
        <w:rPr>
          <w:rFonts w:ascii="Arial" w:hAnsi="Arial" w:cs="Arial"/>
          <w:i/>
          <w:iCs/>
          <w14:ligatures w14:val="standardContextual"/>
        </w:rPr>
      </w:pPr>
      <w:r w:rsidRPr="00E5536C">
        <w:rPr>
          <w:rFonts w:ascii="Arial" w:hAnsi="Arial" w:cs="Arial"/>
          <w:i/>
          <w:iCs/>
        </w:rPr>
        <w:t>Zdroj: ADIS FS ČR</w:t>
      </w:r>
    </w:p>
    <w:p w14:paraId="572B7314" w14:textId="77777777" w:rsidR="00537C0A" w:rsidRPr="00E143A5" w:rsidRDefault="00537C0A" w:rsidP="00537C0A">
      <w:pPr>
        <w:pStyle w:val="Default"/>
        <w:spacing w:after="203"/>
        <w:jc w:val="both"/>
        <w:rPr>
          <w:rFonts w:ascii="Arial" w:hAnsi="Arial" w:cs="Arial"/>
          <w:b/>
          <w:bCs/>
          <w:sz w:val="22"/>
          <w:szCs w:val="22"/>
        </w:rPr>
      </w:pPr>
      <w:r w:rsidRPr="00E143A5">
        <w:rPr>
          <w:rFonts w:ascii="Arial" w:hAnsi="Arial" w:cs="Arial"/>
          <w:b/>
          <w:bCs/>
          <w:sz w:val="22"/>
          <w:szCs w:val="22"/>
        </w:rPr>
        <w:t>Ad 5)</w:t>
      </w:r>
    </w:p>
    <w:p w14:paraId="38EA9DA2" w14:textId="77777777" w:rsidR="00537C0A" w:rsidRPr="002C4FB6" w:rsidRDefault="00537C0A" w:rsidP="00537C0A">
      <w:pPr>
        <w:jc w:val="both"/>
        <w:rPr>
          <w:rFonts w:ascii="Arial" w:hAnsi="Arial" w:cs="Arial"/>
        </w:rPr>
      </w:pPr>
      <w:r w:rsidRPr="002C4FB6">
        <w:rPr>
          <w:rFonts w:ascii="Arial" w:hAnsi="Arial" w:cs="Arial"/>
        </w:rPr>
        <w:t>Poskytujeme</w:t>
      </w:r>
      <w:r>
        <w:rPr>
          <w:rFonts w:ascii="Arial" w:hAnsi="Arial" w:cs="Arial"/>
        </w:rPr>
        <w:t xml:space="preserve"> Vám</w:t>
      </w:r>
      <w:r w:rsidRPr="002C4F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informaci o </w:t>
      </w:r>
      <w:r w:rsidRPr="002C4FB6">
        <w:rPr>
          <w:rFonts w:ascii="Arial" w:hAnsi="Arial" w:cs="Arial"/>
        </w:rPr>
        <w:t>počt</w:t>
      </w:r>
      <w:r>
        <w:rPr>
          <w:rFonts w:ascii="Arial" w:hAnsi="Arial" w:cs="Arial"/>
        </w:rPr>
        <w:t>u</w:t>
      </w:r>
      <w:r w:rsidRPr="002C4FB6">
        <w:rPr>
          <w:rFonts w:ascii="Arial" w:hAnsi="Arial" w:cs="Arial"/>
        </w:rPr>
        <w:t xml:space="preserve"> daňových pohledávek převzatých k jejich vymáhání, které byly aktivní k 31. 12. </w:t>
      </w:r>
      <w:r>
        <w:rPr>
          <w:rFonts w:ascii="Arial" w:hAnsi="Arial" w:cs="Arial"/>
        </w:rPr>
        <w:t xml:space="preserve">jednotlivých </w:t>
      </w:r>
      <w:r w:rsidRPr="002C4FB6">
        <w:rPr>
          <w:rFonts w:ascii="Arial" w:hAnsi="Arial" w:cs="Arial"/>
        </w:rPr>
        <w:t>let 2022</w:t>
      </w:r>
      <w:r>
        <w:rPr>
          <w:rFonts w:ascii="Arial" w:hAnsi="Arial" w:cs="Arial"/>
        </w:rPr>
        <w:t xml:space="preserve"> </w:t>
      </w:r>
      <w:r w:rsidRPr="002C4FB6">
        <w:rPr>
          <w:rFonts w:ascii="Arial" w:hAnsi="Arial" w:cs="Arial"/>
        </w:rPr>
        <w:t>a</w:t>
      </w:r>
      <w:r>
        <w:rPr>
          <w:rFonts w:ascii="Arial" w:hAnsi="Arial" w:cs="Arial"/>
        </w:rPr>
        <w:t>ž</w:t>
      </w:r>
      <w:r w:rsidRPr="002C4FB6">
        <w:rPr>
          <w:rFonts w:ascii="Arial" w:hAnsi="Arial" w:cs="Arial"/>
        </w:rPr>
        <w:t xml:space="preserve"> 2024 a ke dni 31. 1. 2025. </w:t>
      </w:r>
    </w:p>
    <w:p w14:paraId="1BAE21C0" w14:textId="77777777" w:rsidR="00537C0A" w:rsidRPr="002C4FB6" w:rsidRDefault="00537C0A" w:rsidP="00537C0A">
      <w:pPr>
        <w:jc w:val="both"/>
        <w:rPr>
          <w:rFonts w:ascii="Arial" w:hAnsi="Arial" w:cs="Arial"/>
        </w:rPr>
      </w:pPr>
      <w:r w:rsidRPr="002C4FB6">
        <w:rPr>
          <w:rFonts w:ascii="Arial" w:hAnsi="Arial" w:cs="Arial"/>
        </w:rPr>
        <w:lastRenderedPageBreak/>
        <w:t xml:space="preserve">Počet vymáhaných daňových pohledávek není počtem daňových subjektů či osobních daňových účtů, ale počtem všech daňových pohledávek </w:t>
      </w:r>
      <w:r>
        <w:rPr>
          <w:rFonts w:ascii="Arial" w:hAnsi="Arial" w:cs="Arial"/>
        </w:rPr>
        <w:t xml:space="preserve">za </w:t>
      </w:r>
      <w:r w:rsidRPr="002C4FB6">
        <w:rPr>
          <w:rFonts w:ascii="Arial" w:hAnsi="Arial" w:cs="Arial"/>
        </w:rPr>
        <w:t>vše</w:t>
      </w:r>
      <w:r>
        <w:rPr>
          <w:rFonts w:ascii="Arial" w:hAnsi="Arial" w:cs="Arial"/>
        </w:rPr>
        <w:t>mi</w:t>
      </w:r>
      <w:r w:rsidRPr="002C4FB6">
        <w:rPr>
          <w:rFonts w:ascii="Arial" w:hAnsi="Arial" w:cs="Arial"/>
        </w:rPr>
        <w:t xml:space="preserve"> dlužící</w:t>
      </w:r>
      <w:r>
        <w:rPr>
          <w:rFonts w:ascii="Arial" w:hAnsi="Arial" w:cs="Arial"/>
        </w:rPr>
        <w:t>mi</w:t>
      </w:r>
      <w:r w:rsidRPr="002C4FB6">
        <w:rPr>
          <w:rFonts w:ascii="Arial" w:hAnsi="Arial" w:cs="Arial"/>
        </w:rPr>
        <w:t xml:space="preserve"> daňov</w:t>
      </w:r>
      <w:r>
        <w:rPr>
          <w:rFonts w:ascii="Arial" w:hAnsi="Arial" w:cs="Arial"/>
        </w:rPr>
        <w:t xml:space="preserve">ými </w:t>
      </w:r>
      <w:r w:rsidRPr="002C4FB6">
        <w:rPr>
          <w:rFonts w:ascii="Arial" w:hAnsi="Arial" w:cs="Arial"/>
        </w:rPr>
        <w:t>subjekt</w:t>
      </w:r>
      <w:r>
        <w:rPr>
          <w:rFonts w:ascii="Arial" w:hAnsi="Arial" w:cs="Arial"/>
        </w:rPr>
        <w:t>y</w:t>
      </w:r>
      <w:r w:rsidRPr="002C4FB6">
        <w:rPr>
          <w:rFonts w:ascii="Arial" w:hAnsi="Arial" w:cs="Arial"/>
        </w:rPr>
        <w:t xml:space="preserve"> na všech druzích daní. Jeden daňový subjekt může mít několik osobních daňových účtů a</w:t>
      </w:r>
      <w:r>
        <w:rPr>
          <w:rFonts w:ascii="Arial" w:hAnsi="Arial" w:cs="Arial"/>
        </w:rPr>
        <w:t> </w:t>
      </w:r>
      <w:r w:rsidRPr="002C4FB6">
        <w:rPr>
          <w:rFonts w:ascii="Arial" w:hAnsi="Arial" w:cs="Arial"/>
        </w:rPr>
        <w:t>na</w:t>
      </w:r>
      <w:r>
        <w:rPr>
          <w:rFonts w:ascii="Arial" w:hAnsi="Arial" w:cs="Arial"/>
        </w:rPr>
        <w:t> </w:t>
      </w:r>
      <w:r w:rsidRPr="002C4FB6">
        <w:rPr>
          <w:rFonts w:ascii="Arial" w:hAnsi="Arial" w:cs="Arial"/>
        </w:rPr>
        <w:t>každém z těchto účtů může být evidováno více vymáhaných daňových pohledávek.</w:t>
      </w:r>
    </w:p>
    <w:tbl>
      <w:tblPr>
        <w:tblW w:w="949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1559"/>
        <w:gridCol w:w="1418"/>
        <w:gridCol w:w="1701"/>
        <w:gridCol w:w="1276"/>
      </w:tblGrid>
      <w:tr w:rsidR="00537C0A" w:rsidRPr="002C4FB6" w14:paraId="50B97567" w14:textId="77777777" w:rsidTr="00257CAF">
        <w:trPr>
          <w:trHeight w:val="412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518AAF" w14:textId="77777777" w:rsidR="00537C0A" w:rsidRPr="002C4FB6" w:rsidRDefault="00537C0A" w:rsidP="00257CAF">
            <w:pPr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S</w:t>
            </w:r>
            <w:r w:rsidRPr="002C4FB6">
              <w:rPr>
                <w:rFonts w:ascii="Arial" w:hAnsi="Arial" w:cs="Arial"/>
                <w:b/>
                <w:bCs/>
                <w:lang w:eastAsia="cs-CZ"/>
              </w:rPr>
              <w:t>tav ke dni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21D71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lang w:eastAsia="cs-CZ"/>
              </w:rPr>
              <w:t>31. 12. 2022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701E91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lang w:eastAsia="cs-CZ"/>
              </w:rPr>
              <w:t>31. 1. 2023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17915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lang w:eastAsia="cs-CZ"/>
              </w:rPr>
              <w:t>31. 12. 2024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EF212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lang w:eastAsia="cs-CZ"/>
              </w:rPr>
              <w:t>31. 1. 2025</w:t>
            </w:r>
          </w:p>
        </w:tc>
      </w:tr>
      <w:tr w:rsidR="00537C0A" w:rsidRPr="002C4FB6" w14:paraId="4A75A5B6" w14:textId="77777777" w:rsidTr="00257CAF">
        <w:trPr>
          <w:trHeight w:val="60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9DA97" w14:textId="77777777" w:rsidR="00537C0A" w:rsidRPr="002C4FB6" w:rsidRDefault="00537C0A" w:rsidP="00257CAF">
            <w:pPr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lang w:eastAsia="cs-CZ"/>
              </w:rPr>
              <w:t>Počet pohledávek evidovaných ve vymáhání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3BB75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lang w:eastAsia="cs-CZ"/>
              </w:rPr>
            </w:pPr>
            <w:r w:rsidRPr="00AF5556">
              <w:rPr>
                <w:rFonts w:ascii="Arial" w:hAnsi="Arial" w:cs="Arial"/>
                <w:lang w:eastAsia="cs-CZ"/>
              </w:rPr>
              <w:t>2 028 700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B40DC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lang w:eastAsia="cs-CZ"/>
              </w:rPr>
            </w:pPr>
            <w:r w:rsidRPr="00AF5556">
              <w:rPr>
                <w:rFonts w:ascii="Arial" w:hAnsi="Arial" w:cs="Arial"/>
                <w:lang w:eastAsia="cs-CZ"/>
              </w:rPr>
              <w:t>1 809 399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40B17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lang w:eastAsia="cs-CZ"/>
              </w:rPr>
            </w:pPr>
            <w:r w:rsidRPr="00AF5556">
              <w:rPr>
                <w:rFonts w:ascii="Arial" w:hAnsi="Arial" w:cs="Arial"/>
                <w:lang w:eastAsia="cs-CZ"/>
              </w:rPr>
              <w:t>1 885 564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A6306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lang w:eastAsia="cs-CZ"/>
              </w:rPr>
            </w:pPr>
            <w:r w:rsidRPr="00AF5556">
              <w:rPr>
                <w:rFonts w:ascii="Arial" w:hAnsi="Arial" w:cs="Arial"/>
                <w:lang w:eastAsia="cs-CZ"/>
              </w:rPr>
              <w:t>1 908 606</w:t>
            </w:r>
          </w:p>
        </w:tc>
      </w:tr>
    </w:tbl>
    <w:p w14:paraId="1E630A5D" w14:textId="77777777" w:rsidR="00537C0A" w:rsidRPr="00E5536C" w:rsidRDefault="00537C0A" w:rsidP="00537C0A">
      <w:pPr>
        <w:jc w:val="both"/>
        <w:rPr>
          <w:rFonts w:ascii="Arial" w:hAnsi="Arial" w:cs="Arial"/>
          <w:i/>
          <w:iCs/>
          <w14:ligatures w14:val="standardContextual"/>
        </w:rPr>
      </w:pPr>
      <w:r w:rsidRPr="00E5536C">
        <w:rPr>
          <w:rFonts w:ascii="Arial" w:hAnsi="Arial" w:cs="Arial"/>
          <w:i/>
          <w:iCs/>
        </w:rPr>
        <w:t>Zdroj: ADIS FS ČR</w:t>
      </w:r>
    </w:p>
    <w:p w14:paraId="5CB857DB" w14:textId="77777777" w:rsidR="00537C0A" w:rsidRPr="00E143A5" w:rsidRDefault="00537C0A" w:rsidP="00537C0A">
      <w:pPr>
        <w:pStyle w:val="Default"/>
        <w:spacing w:after="203"/>
        <w:jc w:val="both"/>
        <w:rPr>
          <w:rFonts w:ascii="Arial" w:hAnsi="Arial" w:cs="Arial"/>
          <w:b/>
          <w:bCs/>
          <w:sz w:val="22"/>
          <w:szCs w:val="22"/>
        </w:rPr>
      </w:pPr>
      <w:r w:rsidRPr="00E143A5">
        <w:rPr>
          <w:rFonts w:ascii="Arial" w:hAnsi="Arial" w:cs="Arial"/>
          <w:b/>
          <w:bCs/>
          <w:sz w:val="22"/>
          <w:szCs w:val="22"/>
        </w:rPr>
        <w:t xml:space="preserve">Ad 6) </w:t>
      </w:r>
    </w:p>
    <w:p w14:paraId="270F668B" w14:textId="77777777" w:rsidR="00537C0A" w:rsidRPr="002C4FB6" w:rsidRDefault="00537C0A" w:rsidP="00537C0A">
      <w:pPr>
        <w:jc w:val="both"/>
        <w:rPr>
          <w:rFonts w:ascii="Arial" w:hAnsi="Arial" w:cs="Arial"/>
        </w:rPr>
      </w:pPr>
      <w:r w:rsidRPr="002C4FB6">
        <w:rPr>
          <w:rFonts w:ascii="Arial" w:hAnsi="Arial" w:cs="Arial"/>
        </w:rPr>
        <w:t xml:space="preserve">V návaznosti na bod 5) </w:t>
      </w:r>
      <w:r>
        <w:rPr>
          <w:rFonts w:ascii="Arial" w:hAnsi="Arial" w:cs="Arial"/>
        </w:rPr>
        <w:t xml:space="preserve">Vám </w:t>
      </w:r>
      <w:r w:rsidRPr="002C4FB6">
        <w:rPr>
          <w:rFonts w:ascii="Arial" w:hAnsi="Arial" w:cs="Arial"/>
        </w:rPr>
        <w:t>poskytujeme celkový objem daňových pohledávek převzatých k jejich vymáhání (bez ohledu na způsob vymáhání dle daňového řádu), které byly aktivní ke</w:t>
      </w:r>
      <w:r>
        <w:rPr>
          <w:rFonts w:ascii="Arial" w:hAnsi="Arial" w:cs="Arial"/>
        </w:rPr>
        <w:t> </w:t>
      </w:r>
      <w:r w:rsidRPr="002C4FB6">
        <w:rPr>
          <w:rFonts w:ascii="Arial" w:hAnsi="Arial" w:cs="Arial"/>
        </w:rPr>
        <w:t>dni 31. 12. let 2022</w:t>
      </w:r>
      <w:r>
        <w:rPr>
          <w:rFonts w:ascii="Arial" w:hAnsi="Arial" w:cs="Arial"/>
        </w:rPr>
        <w:t xml:space="preserve"> </w:t>
      </w:r>
      <w:r w:rsidRPr="002C4FB6">
        <w:rPr>
          <w:rFonts w:ascii="Arial" w:hAnsi="Arial" w:cs="Arial"/>
        </w:rPr>
        <w:t>a</w:t>
      </w:r>
      <w:r>
        <w:rPr>
          <w:rFonts w:ascii="Arial" w:hAnsi="Arial" w:cs="Arial"/>
        </w:rPr>
        <w:t>ž</w:t>
      </w:r>
      <w:r w:rsidRPr="002C4FB6">
        <w:rPr>
          <w:rFonts w:ascii="Arial" w:hAnsi="Arial" w:cs="Arial"/>
        </w:rPr>
        <w:t xml:space="preserve"> 2024 a ke dni 31. 1. 2025. </w:t>
      </w:r>
    </w:p>
    <w:p w14:paraId="14DDB140" w14:textId="77777777" w:rsidR="00537C0A" w:rsidRPr="002C4FB6" w:rsidRDefault="00537C0A" w:rsidP="00537C0A">
      <w:pPr>
        <w:jc w:val="both"/>
        <w:rPr>
          <w:rFonts w:ascii="Arial" w:hAnsi="Arial" w:cs="Arial"/>
        </w:rPr>
      </w:pPr>
      <w:r w:rsidRPr="002C4FB6">
        <w:rPr>
          <w:rFonts w:ascii="Arial" w:hAnsi="Arial" w:cs="Arial"/>
        </w:rPr>
        <w:t xml:space="preserve">Objem vymáhaných daňových pohledávek se </w:t>
      </w:r>
      <w:r>
        <w:rPr>
          <w:rFonts w:ascii="Arial" w:hAnsi="Arial" w:cs="Arial"/>
        </w:rPr>
        <w:t xml:space="preserve">rovněž </w:t>
      </w:r>
      <w:r w:rsidRPr="002C4FB6">
        <w:rPr>
          <w:rFonts w:ascii="Arial" w:hAnsi="Arial" w:cs="Arial"/>
        </w:rPr>
        <w:t xml:space="preserve">vztahuje ke všem daňovým pohledávkám všech dlužících daňových subjektů na všech druzích daní. </w:t>
      </w:r>
      <w:r>
        <w:rPr>
          <w:rFonts w:ascii="Arial" w:hAnsi="Arial" w:cs="Arial"/>
        </w:rPr>
        <w:t>Stejně tak platí, že</w:t>
      </w:r>
      <w:r w:rsidRPr="002C4FB6">
        <w:rPr>
          <w:rFonts w:ascii="Arial" w:hAnsi="Arial" w:cs="Arial"/>
        </w:rPr>
        <w:t xml:space="preserve"> jeden daňový subjekt může mít několik osobních daňových účtů a na každém z těchto účtů může být evidováno více vymáhaných daňových pohledávek o různém objemu.</w:t>
      </w:r>
    </w:p>
    <w:tbl>
      <w:tblPr>
        <w:tblW w:w="953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1701"/>
        <w:gridCol w:w="1418"/>
        <w:gridCol w:w="1417"/>
        <w:gridCol w:w="1466"/>
      </w:tblGrid>
      <w:tr w:rsidR="00537C0A" w:rsidRPr="002C4FB6" w14:paraId="172F35CA" w14:textId="77777777" w:rsidTr="00257CAF">
        <w:trPr>
          <w:trHeight w:val="788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E5940F" w14:textId="77777777" w:rsidR="00537C0A" w:rsidRPr="002C4FB6" w:rsidRDefault="00537C0A" w:rsidP="00257CAF">
            <w:pPr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S</w:t>
            </w:r>
            <w:r w:rsidRPr="002C4FB6">
              <w:rPr>
                <w:rFonts w:ascii="Arial" w:hAnsi="Arial" w:cs="Arial"/>
                <w:b/>
                <w:bCs/>
                <w:lang w:eastAsia="cs-CZ"/>
              </w:rPr>
              <w:t>tav ke dni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6DB294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lang w:eastAsia="cs-CZ"/>
              </w:rPr>
              <w:t>31. 12. 2022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8BB45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lang w:eastAsia="cs-CZ"/>
              </w:rPr>
              <w:t>31. 1. 2023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E5284C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lang w:eastAsia="cs-CZ"/>
              </w:rPr>
              <w:t>31. 12. 2024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7CA79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lang w:eastAsia="cs-CZ"/>
              </w:rPr>
              <w:t>31. 1. 2025</w:t>
            </w:r>
          </w:p>
        </w:tc>
      </w:tr>
      <w:tr w:rsidR="00537C0A" w:rsidRPr="002C4FB6" w14:paraId="5A84CEDC" w14:textId="77777777" w:rsidTr="00257CAF">
        <w:trPr>
          <w:trHeight w:val="788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2F31D9" w14:textId="77777777" w:rsidR="00537C0A" w:rsidRPr="002C4FB6" w:rsidRDefault="00537C0A" w:rsidP="00257CAF">
            <w:pPr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r w:rsidRPr="00AF5556">
              <w:rPr>
                <w:rFonts w:ascii="Arial" w:hAnsi="Arial" w:cs="Arial"/>
                <w:b/>
                <w:bCs/>
                <w:shd w:val="clear" w:color="auto" w:fill="E59EDC" w:themeFill="accent5" w:themeFillTint="66"/>
                <w:lang w:eastAsia="cs-CZ"/>
              </w:rPr>
              <w:t>Objem pohledávek evidovaných ve vymáhání</w:t>
            </w:r>
            <w:r w:rsidRPr="002C4FB6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AF5556">
              <w:rPr>
                <w:rFonts w:ascii="Arial" w:hAnsi="Arial" w:cs="Arial"/>
                <w:lang w:eastAsia="cs-CZ"/>
              </w:rPr>
              <w:t>(v mil. 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98036F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lang w:eastAsia="cs-CZ"/>
              </w:rPr>
            </w:pPr>
            <w:r w:rsidRPr="00AF5556">
              <w:rPr>
                <w:rFonts w:ascii="Arial" w:hAnsi="Arial" w:cs="Arial"/>
                <w:lang w:eastAsia="cs-CZ"/>
              </w:rPr>
              <w:t>23 098,0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C89C9B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lang w:eastAsia="cs-CZ"/>
              </w:rPr>
            </w:pPr>
            <w:r w:rsidRPr="00AF5556">
              <w:rPr>
                <w:rFonts w:ascii="Arial" w:hAnsi="Arial" w:cs="Arial"/>
                <w:lang w:eastAsia="cs-CZ"/>
              </w:rPr>
              <w:t>27 175,0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CB3B6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lang w:eastAsia="cs-CZ"/>
              </w:rPr>
            </w:pPr>
            <w:r w:rsidRPr="00AF5556">
              <w:rPr>
                <w:rFonts w:ascii="Arial" w:hAnsi="Arial" w:cs="Arial"/>
                <w:lang w:eastAsia="cs-CZ"/>
              </w:rPr>
              <w:t>25 324,8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F718F3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lang w:eastAsia="cs-CZ"/>
              </w:rPr>
            </w:pPr>
            <w:r w:rsidRPr="00AF5556">
              <w:rPr>
                <w:rFonts w:ascii="Arial" w:hAnsi="Arial" w:cs="Arial"/>
                <w:lang w:eastAsia="cs-CZ"/>
              </w:rPr>
              <w:t>25 820,6</w:t>
            </w:r>
          </w:p>
        </w:tc>
      </w:tr>
    </w:tbl>
    <w:p w14:paraId="3400AAAF" w14:textId="77777777" w:rsidR="00537C0A" w:rsidRPr="00E5536C" w:rsidRDefault="00537C0A" w:rsidP="00537C0A">
      <w:pPr>
        <w:jc w:val="both"/>
        <w:rPr>
          <w:rFonts w:ascii="Arial" w:hAnsi="Arial" w:cs="Arial"/>
          <w:i/>
          <w:iCs/>
          <w14:ligatures w14:val="standardContextual"/>
        </w:rPr>
      </w:pPr>
      <w:r w:rsidRPr="00E5536C">
        <w:rPr>
          <w:rFonts w:ascii="Arial" w:hAnsi="Arial" w:cs="Arial"/>
          <w:i/>
          <w:iCs/>
        </w:rPr>
        <w:t>Zdroj: ADIS FS ČR</w:t>
      </w:r>
    </w:p>
    <w:p w14:paraId="18A0D078" w14:textId="77777777" w:rsidR="00537C0A" w:rsidRPr="00B259CC" w:rsidRDefault="00537C0A" w:rsidP="00537C0A">
      <w:pPr>
        <w:pStyle w:val="Default"/>
        <w:spacing w:after="203"/>
        <w:jc w:val="both"/>
        <w:rPr>
          <w:rFonts w:ascii="Arial" w:hAnsi="Arial" w:cs="Arial"/>
          <w:b/>
          <w:bCs/>
          <w:sz w:val="22"/>
          <w:szCs w:val="22"/>
        </w:rPr>
      </w:pPr>
      <w:r w:rsidRPr="00B259CC">
        <w:rPr>
          <w:rFonts w:ascii="Arial" w:hAnsi="Arial" w:cs="Arial"/>
          <w:b/>
          <w:bCs/>
          <w:sz w:val="22"/>
          <w:szCs w:val="22"/>
        </w:rPr>
        <w:t xml:space="preserve">Ad 7) </w:t>
      </w:r>
    </w:p>
    <w:p w14:paraId="6C6A5DB6" w14:textId="77777777" w:rsidR="00537C0A" w:rsidRPr="002C4FB6" w:rsidRDefault="00537C0A" w:rsidP="00537C0A">
      <w:pPr>
        <w:jc w:val="both"/>
        <w:rPr>
          <w:rFonts w:ascii="Arial" w:hAnsi="Arial" w:cs="Arial"/>
        </w:rPr>
      </w:pPr>
      <w:r w:rsidRPr="002C4FB6">
        <w:rPr>
          <w:rFonts w:ascii="Arial" w:hAnsi="Arial" w:cs="Arial"/>
        </w:rPr>
        <w:t xml:space="preserve">Statistické výstupy vymožených daňových nedoplatků jsou sestavovány s daty „za období“ </w:t>
      </w:r>
      <w:r>
        <w:rPr>
          <w:rFonts w:ascii="Arial" w:hAnsi="Arial" w:cs="Arial"/>
        </w:rPr>
        <w:t xml:space="preserve">- </w:t>
      </w:r>
      <w:r w:rsidRPr="002C4FB6">
        <w:rPr>
          <w:rFonts w:ascii="Arial" w:hAnsi="Arial" w:cs="Arial"/>
        </w:rPr>
        <w:t xml:space="preserve">časový interval od počátku kalendářního roku, </w:t>
      </w:r>
      <w:r w:rsidRPr="00E5536C">
        <w:rPr>
          <w:rFonts w:ascii="Arial" w:hAnsi="Arial" w:cs="Arial"/>
        </w:rPr>
        <w:t>bez ohledu na datum zahájení vymáhání dle daňového řádu</w:t>
      </w:r>
      <w:r w:rsidRPr="002C4FB6">
        <w:rPr>
          <w:rFonts w:ascii="Arial" w:hAnsi="Arial" w:cs="Arial"/>
        </w:rPr>
        <w:t>. Dle § 178 odst. 1 daňového řádu je daňová exekuce zahájena vydáním exekučního příkazu, správce daně může dle § 175 odst. 1 a 2 daňového řádu zabezpečit vymáhání nedoplatku také prostřednictvím soudního exekutora, popřípadě jej uplatnit v</w:t>
      </w:r>
      <w:r>
        <w:rPr>
          <w:rFonts w:ascii="Arial" w:hAnsi="Arial" w:cs="Arial"/>
        </w:rPr>
        <w:t> </w:t>
      </w:r>
      <w:r w:rsidRPr="002C4FB6">
        <w:rPr>
          <w:rFonts w:ascii="Arial" w:hAnsi="Arial" w:cs="Arial"/>
        </w:rPr>
        <w:t xml:space="preserve">insolvenčním řízení nebo </w:t>
      </w:r>
      <w:r>
        <w:rPr>
          <w:rFonts w:ascii="Arial" w:hAnsi="Arial" w:cs="Arial"/>
        </w:rPr>
        <w:t>přihlášením</w:t>
      </w:r>
      <w:r w:rsidRPr="002C4FB6">
        <w:rPr>
          <w:rFonts w:ascii="Arial" w:hAnsi="Arial" w:cs="Arial"/>
        </w:rPr>
        <w:t>i do veřejné dražby, přičemž je povinen zvolit způsob vymáhání nedoplatku tak, aby výše nákladů spojených s vymáháním, které bude daňový subjekt povinen uhradit, nebyla ve zjevném nepoměru k výši nedoplatku.</w:t>
      </w:r>
    </w:p>
    <w:p w14:paraId="479A1251" w14:textId="77777777" w:rsidR="00537C0A" w:rsidRPr="002C4FB6" w:rsidRDefault="00537C0A" w:rsidP="00537C0A">
      <w:pPr>
        <w:jc w:val="both"/>
        <w:rPr>
          <w:rFonts w:ascii="Arial" w:hAnsi="Arial" w:cs="Arial"/>
        </w:rPr>
      </w:pPr>
      <w:r w:rsidRPr="002C4FB6">
        <w:rPr>
          <w:rFonts w:ascii="Arial" w:hAnsi="Arial" w:cs="Arial"/>
        </w:rPr>
        <w:t xml:space="preserve">Poskytujeme </w:t>
      </w:r>
      <w:r>
        <w:rPr>
          <w:rFonts w:ascii="Arial" w:hAnsi="Arial" w:cs="Arial"/>
        </w:rPr>
        <w:t xml:space="preserve">Vám </w:t>
      </w:r>
      <w:r w:rsidRPr="002C4FB6">
        <w:rPr>
          <w:rFonts w:ascii="Arial" w:hAnsi="Arial" w:cs="Arial"/>
        </w:rPr>
        <w:t>celkový objem vymožených nedoplatků všemi způsoby dle daňového řádu, tj. fiskální objem připsaný na základě vymáhání daňových nedoplatků na osobní daňový účet dlužícího daňového subjektu v období kalendářního roku (resp. v období 1. 1. až 31. 1 2025).</w:t>
      </w:r>
    </w:p>
    <w:tbl>
      <w:tblPr>
        <w:tblW w:w="955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701"/>
        <w:gridCol w:w="1843"/>
        <w:gridCol w:w="1855"/>
        <w:gridCol w:w="1323"/>
      </w:tblGrid>
      <w:tr w:rsidR="00537C0A" w:rsidRPr="002C4FB6" w14:paraId="2E2827BF" w14:textId="77777777" w:rsidTr="00257CAF">
        <w:trPr>
          <w:trHeight w:val="641"/>
        </w:trPr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D895C" w14:textId="77777777" w:rsidR="00537C0A" w:rsidRPr="002C4FB6" w:rsidRDefault="00537C0A" w:rsidP="00257CAF">
            <w:pPr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>S</w:t>
            </w:r>
            <w:r w:rsidRPr="002C4FB6">
              <w:rPr>
                <w:rFonts w:ascii="Arial" w:hAnsi="Arial" w:cs="Arial"/>
                <w:b/>
                <w:bCs/>
                <w:lang w:eastAsia="cs-CZ"/>
              </w:rPr>
              <w:t>tav za období od 1. 1. předmětného roku do</w:t>
            </w:r>
            <w:r>
              <w:rPr>
                <w:rFonts w:ascii="Arial" w:hAnsi="Arial" w:cs="Arial"/>
                <w:b/>
                <w:bCs/>
                <w:lang w:eastAsia="cs-CZ"/>
              </w:rPr>
              <w:t> </w:t>
            </w:r>
            <w:r w:rsidRPr="002C4FB6">
              <w:rPr>
                <w:rFonts w:ascii="Arial" w:hAnsi="Arial" w:cs="Arial"/>
                <w:b/>
                <w:bCs/>
                <w:lang w:eastAsia="cs-CZ"/>
              </w:rPr>
              <w:t>sledovaného dne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4B89C2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lang w:eastAsia="cs-CZ"/>
              </w:rPr>
              <w:t>1. 1. až 31. 12.</w:t>
            </w:r>
            <w:r w:rsidRPr="002C4FB6">
              <w:rPr>
                <w:rFonts w:ascii="Arial" w:hAnsi="Arial" w:cs="Arial"/>
                <w:b/>
                <w:bCs/>
                <w:lang w:eastAsia="cs-CZ"/>
              </w:rPr>
              <w:br/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F08A5B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lang w:eastAsia="cs-CZ"/>
              </w:rPr>
              <w:t>1. 1. až 31. 12.</w:t>
            </w:r>
            <w:r w:rsidRPr="002C4FB6">
              <w:rPr>
                <w:rFonts w:ascii="Arial" w:hAnsi="Arial" w:cs="Arial"/>
                <w:b/>
                <w:bCs/>
                <w:lang w:eastAsia="cs-CZ"/>
              </w:rPr>
              <w:br/>
              <w:t>2023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F88558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lang w:eastAsia="cs-CZ"/>
              </w:rPr>
              <w:t>31. 1. až 31. 12.</w:t>
            </w:r>
            <w:r w:rsidRPr="002C4FB6">
              <w:rPr>
                <w:rFonts w:ascii="Arial" w:hAnsi="Arial" w:cs="Arial"/>
                <w:b/>
                <w:bCs/>
                <w:lang w:eastAsia="cs-CZ"/>
              </w:rPr>
              <w:br/>
              <w:t>2024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07B54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lang w:eastAsia="cs-CZ"/>
              </w:rPr>
              <w:t>1. 1. - 31. 1.</w:t>
            </w:r>
            <w:r w:rsidRPr="002C4FB6">
              <w:rPr>
                <w:rFonts w:ascii="Arial" w:hAnsi="Arial" w:cs="Arial"/>
                <w:b/>
                <w:bCs/>
                <w:lang w:eastAsia="cs-CZ"/>
              </w:rPr>
              <w:br/>
              <w:t>2025</w:t>
            </w:r>
          </w:p>
        </w:tc>
      </w:tr>
      <w:tr w:rsidR="00537C0A" w:rsidRPr="002C4FB6" w14:paraId="6E931994" w14:textId="77777777" w:rsidTr="00257CAF">
        <w:trPr>
          <w:trHeight w:val="641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9A93F" w14:textId="77777777" w:rsidR="00537C0A" w:rsidRPr="002C4FB6" w:rsidRDefault="00537C0A" w:rsidP="00257CAF">
            <w:pPr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lang w:eastAsia="cs-CZ"/>
              </w:rPr>
              <w:t>Objem</w:t>
            </w:r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2C4FB6">
              <w:rPr>
                <w:rFonts w:ascii="Arial" w:hAnsi="Arial" w:cs="Arial"/>
                <w:b/>
                <w:bCs/>
                <w:lang w:eastAsia="cs-CZ"/>
              </w:rPr>
              <w:t>pohledávek vymožených</w:t>
            </w:r>
            <w:r>
              <w:rPr>
                <w:rFonts w:ascii="Arial" w:hAnsi="Arial" w:cs="Arial"/>
                <w:b/>
                <w:bCs/>
                <w:lang w:eastAsia="cs-CZ"/>
              </w:rPr>
              <w:t xml:space="preserve"> (</w:t>
            </w:r>
            <w:r w:rsidRPr="002C4FB6">
              <w:rPr>
                <w:rFonts w:ascii="Arial" w:hAnsi="Arial" w:cs="Arial"/>
                <w:b/>
                <w:bCs/>
                <w:lang w:eastAsia="cs-CZ"/>
              </w:rPr>
              <w:t>v mil. Kč</w:t>
            </w:r>
            <w:r>
              <w:rPr>
                <w:rFonts w:ascii="Arial" w:hAnsi="Arial" w:cs="Arial"/>
                <w:b/>
                <w:bCs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EAE14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lang w:eastAsia="cs-CZ"/>
              </w:rPr>
            </w:pPr>
            <w:r w:rsidRPr="00AF5556">
              <w:rPr>
                <w:rFonts w:ascii="Arial" w:hAnsi="Arial" w:cs="Arial"/>
                <w:lang w:eastAsia="cs-CZ"/>
              </w:rPr>
              <w:t>13 630,0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90717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lang w:eastAsia="cs-CZ"/>
              </w:rPr>
            </w:pPr>
            <w:r w:rsidRPr="00AF5556">
              <w:rPr>
                <w:rFonts w:ascii="Arial" w:hAnsi="Arial" w:cs="Arial"/>
                <w:lang w:eastAsia="cs-CZ"/>
              </w:rPr>
              <w:t>16 727,2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F1BE51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lang w:eastAsia="cs-CZ"/>
              </w:rPr>
            </w:pPr>
            <w:r w:rsidRPr="00AF5556">
              <w:rPr>
                <w:rFonts w:ascii="Arial" w:hAnsi="Arial" w:cs="Arial"/>
                <w:lang w:eastAsia="cs-CZ"/>
              </w:rPr>
              <w:t>16 168,4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F15C6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lang w:eastAsia="cs-CZ"/>
              </w:rPr>
            </w:pPr>
            <w:r w:rsidRPr="00AF5556">
              <w:rPr>
                <w:rFonts w:ascii="Arial" w:hAnsi="Arial" w:cs="Arial"/>
                <w:lang w:eastAsia="cs-CZ"/>
              </w:rPr>
              <w:t>984,1</w:t>
            </w:r>
          </w:p>
        </w:tc>
      </w:tr>
    </w:tbl>
    <w:p w14:paraId="1C493C01" w14:textId="77777777" w:rsidR="00537C0A" w:rsidRPr="00E5536C" w:rsidRDefault="00537C0A" w:rsidP="00537C0A">
      <w:pPr>
        <w:jc w:val="both"/>
        <w:rPr>
          <w:rFonts w:ascii="Arial" w:hAnsi="Arial" w:cs="Arial"/>
          <w:i/>
          <w:iCs/>
        </w:rPr>
      </w:pPr>
      <w:r w:rsidRPr="00E5536C">
        <w:rPr>
          <w:rFonts w:ascii="Arial" w:hAnsi="Arial" w:cs="Arial"/>
          <w:i/>
          <w:iCs/>
        </w:rPr>
        <w:t>Zdroj: ADIS FS ČR</w:t>
      </w:r>
    </w:p>
    <w:p w14:paraId="408FA1F1" w14:textId="77777777" w:rsidR="00537C0A" w:rsidRDefault="00537C0A" w:rsidP="00537C0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448180" w14:textId="77777777" w:rsidR="00537C0A" w:rsidRDefault="00537C0A" w:rsidP="00537C0A">
      <w:pPr>
        <w:pStyle w:val="Default"/>
        <w:spacing w:after="207"/>
        <w:jc w:val="both"/>
        <w:rPr>
          <w:rFonts w:ascii="Arial" w:hAnsi="Arial" w:cs="Arial"/>
          <w:b/>
          <w:bCs/>
          <w:sz w:val="22"/>
          <w:szCs w:val="22"/>
        </w:rPr>
      </w:pPr>
      <w:r w:rsidRPr="00B259CC">
        <w:rPr>
          <w:rFonts w:ascii="Arial" w:hAnsi="Arial" w:cs="Arial"/>
          <w:b/>
          <w:bCs/>
          <w:sz w:val="22"/>
          <w:szCs w:val="22"/>
        </w:rPr>
        <w:lastRenderedPageBreak/>
        <w:t>Ad 8)</w:t>
      </w:r>
    </w:p>
    <w:tbl>
      <w:tblPr>
        <w:tblW w:w="949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2855"/>
        <w:gridCol w:w="1258"/>
        <w:gridCol w:w="1417"/>
        <w:gridCol w:w="1418"/>
      </w:tblGrid>
      <w:tr w:rsidR="00537C0A" w:rsidRPr="00B259CC" w14:paraId="3A7EC9FD" w14:textId="77777777" w:rsidTr="00257CAF">
        <w:trPr>
          <w:trHeight w:val="300"/>
        </w:trPr>
        <w:tc>
          <w:tcPr>
            <w:tcW w:w="2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8FB5F" w14:textId="77777777" w:rsidR="00537C0A" w:rsidRPr="00B259CC" w:rsidRDefault="00537C0A" w:rsidP="00257CAF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FFFFFF"/>
                <w:lang w:eastAsia="cs-CZ"/>
              </w:rPr>
              <w:t>Typ</w:t>
            </w:r>
            <w:r>
              <w:rPr>
                <w:rFonts w:ascii="Arial" w:hAnsi="Arial" w:cs="Arial"/>
                <w:b/>
                <w:bCs/>
                <w:color w:val="FFFFFF"/>
                <w:lang w:eastAsia="cs-CZ"/>
              </w:rPr>
              <w:t xml:space="preserve"> exekučního příkazu (dále jen „EP)</w:t>
            </w:r>
          </w:p>
        </w:tc>
        <w:tc>
          <w:tcPr>
            <w:tcW w:w="28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402641" w14:textId="77777777" w:rsidR="00537C0A" w:rsidRPr="00B259CC" w:rsidRDefault="00537C0A" w:rsidP="00257CAF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cs-CZ"/>
              </w:rPr>
            </w:pPr>
            <w:proofErr w:type="spellStart"/>
            <w:r w:rsidRPr="00B259CC">
              <w:rPr>
                <w:rFonts w:ascii="Arial" w:hAnsi="Arial" w:cs="Arial"/>
                <w:b/>
                <w:bCs/>
                <w:color w:val="FFFFFF"/>
                <w:lang w:eastAsia="cs-CZ"/>
              </w:rPr>
              <w:t>Typ_EP_detail</w:t>
            </w:r>
            <w:proofErr w:type="spellEnd"/>
          </w:p>
        </w:tc>
        <w:tc>
          <w:tcPr>
            <w:tcW w:w="40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8750A" w14:textId="77777777" w:rsidR="00537C0A" w:rsidRPr="00B259CC" w:rsidRDefault="00537C0A" w:rsidP="00257CAF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FFFFFF"/>
                <w:lang w:eastAsia="cs-CZ"/>
              </w:rPr>
              <w:t>ROK</w:t>
            </w:r>
          </w:p>
        </w:tc>
      </w:tr>
      <w:tr w:rsidR="00537C0A" w:rsidRPr="00B259CC" w14:paraId="1AC36BF4" w14:textId="77777777" w:rsidTr="00257CAF">
        <w:trPr>
          <w:trHeight w:val="300"/>
        </w:trPr>
        <w:tc>
          <w:tcPr>
            <w:tcW w:w="2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7C215" w14:textId="77777777" w:rsidR="00537C0A" w:rsidRPr="00B259CC" w:rsidRDefault="00537C0A" w:rsidP="00257CAF">
            <w:pPr>
              <w:rPr>
                <w:rFonts w:ascii="Arial" w:hAnsi="Arial" w:cs="Arial"/>
                <w:b/>
                <w:bCs/>
                <w:color w:val="FFFFFF"/>
                <w:lang w:eastAsia="cs-CZ"/>
              </w:rPr>
            </w:pPr>
          </w:p>
        </w:tc>
        <w:tc>
          <w:tcPr>
            <w:tcW w:w="28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D6AF0" w14:textId="77777777" w:rsidR="00537C0A" w:rsidRPr="00B259CC" w:rsidRDefault="00537C0A" w:rsidP="00257CAF">
            <w:pPr>
              <w:rPr>
                <w:rFonts w:ascii="Arial" w:hAnsi="Arial" w:cs="Arial"/>
                <w:b/>
                <w:bCs/>
                <w:color w:val="FFFFFF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C1B5A" w14:textId="77777777" w:rsidR="00537C0A" w:rsidRPr="00B259CC" w:rsidRDefault="00537C0A" w:rsidP="00257CAF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FFFFFF"/>
                <w:lang w:eastAsia="cs-CZ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32454E" w14:textId="77777777" w:rsidR="00537C0A" w:rsidRPr="00B259CC" w:rsidRDefault="00537C0A" w:rsidP="00257CAF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FFFFFF"/>
                <w:lang w:eastAsia="cs-CZ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993AF" w14:textId="77777777" w:rsidR="00537C0A" w:rsidRPr="00B259CC" w:rsidRDefault="00537C0A" w:rsidP="00257CAF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FFFFFF"/>
                <w:lang w:eastAsia="cs-CZ"/>
              </w:rPr>
              <w:t>2024</w:t>
            </w:r>
          </w:p>
        </w:tc>
      </w:tr>
      <w:tr w:rsidR="00537C0A" w:rsidRPr="00B259CC" w14:paraId="5116888C" w14:textId="77777777" w:rsidTr="00257CAF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13F23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EP na dlužníka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B01733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jiné pohledávky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6F889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5 368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298719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5 115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309024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4 723</w:t>
            </w:r>
          </w:p>
        </w:tc>
      </w:tr>
      <w:tr w:rsidR="00537C0A" w:rsidRPr="00B259CC" w14:paraId="11592012" w14:textId="77777777" w:rsidTr="00257CAF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14A09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EP na dlužníka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219AE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na účtech u bank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FFCF4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134 194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B80731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164 185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8A184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179 052</w:t>
            </w:r>
          </w:p>
        </w:tc>
      </w:tr>
      <w:tr w:rsidR="00537C0A" w:rsidRPr="00B259CC" w14:paraId="3663BCB2" w14:textId="77777777" w:rsidTr="00257CAF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00139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EP na dlužníka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BA168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postižení majetkového práva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BC102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86CB3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EFC59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94</w:t>
            </w:r>
          </w:p>
        </w:tc>
      </w:tr>
      <w:tr w:rsidR="00537C0A" w:rsidRPr="00B259CC" w14:paraId="2327D384" w14:textId="77777777" w:rsidTr="00257CAF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AD4C1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EP na dlužníka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D0ACA7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prodej movitých věcí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7C79E2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1 160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5C8648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1 335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82DF5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1 219</w:t>
            </w:r>
          </w:p>
        </w:tc>
      </w:tr>
      <w:tr w:rsidR="00537C0A" w:rsidRPr="00B259CC" w14:paraId="52AAF698" w14:textId="77777777" w:rsidTr="00257CAF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EA3BAF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EP na dlužníka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00730E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prodej nemovitých věcí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AA8B1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66884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45E1B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699</w:t>
            </w:r>
          </w:p>
        </w:tc>
      </w:tr>
      <w:tr w:rsidR="00537C0A" w:rsidRPr="00B259CC" w14:paraId="7375200D" w14:textId="77777777" w:rsidTr="00257CAF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2F552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EP na dlužníka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4A04EE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srážky ze mzdy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C1CDD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8 855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DC348A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7 006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D834FA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7 878</w:t>
            </w:r>
          </w:p>
        </w:tc>
      </w:tr>
      <w:tr w:rsidR="00537C0A" w:rsidRPr="00B259CC" w14:paraId="741FC3AA" w14:textId="77777777" w:rsidTr="00257CAF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5B9821" w14:textId="77777777" w:rsidR="00537C0A" w:rsidRPr="00B259CC" w:rsidRDefault="00537C0A" w:rsidP="00257CAF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EP na dlužníka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c</w:t>
            </w:r>
            <w:r w:rsidRPr="00B259CC">
              <w:rPr>
                <w:rFonts w:ascii="Arial" w:hAnsi="Arial" w:cs="Arial"/>
                <w:b/>
                <w:bCs/>
                <w:color w:val="000000"/>
                <w:lang w:eastAsia="cs-CZ"/>
              </w:rPr>
              <w:t>elkem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826E5" w14:textId="77777777" w:rsidR="00537C0A" w:rsidRPr="00B259CC" w:rsidRDefault="00537C0A" w:rsidP="00257CAF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28F13E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000000"/>
                <w:lang w:eastAsia="cs-CZ"/>
              </w:rPr>
              <w:t>150 398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B8708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000000"/>
                <w:lang w:eastAsia="cs-CZ"/>
              </w:rPr>
              <w:t>178 655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7F786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000000"/>
                <w:lang w:eastAsia="cs-CZ"/>
              </w:rPr>
              <w:t>193 665</w:t>
            </w:r>
          </w:p>
        </w:tc>
      </w:tr>
      <w:tr w:rsidR="00537C0A" w:rsidRPr="00B259CC" w14:paraId="04BFBCC9" w14:textId="77777777" w:rsidTr="00257CAF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257DC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EP na manžela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13337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na účtech u bank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E6A9D6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E486B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CE3E5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324</w:t>
            </w:r>
          </w:p>
        </w:tc>
      </w:tr>
      <w:tr w:rsidR="00537C0A" w:rsidRPr="00B259CC" w14:paraId="0848522C" w14:textId="77777777" w:rsidTr="00257CAF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BA1069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EP na manžela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4581F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prodej movitých věcí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857E25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4525F6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E2403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1</w:t>
            </w:r>
          </w:p>
        </w:tc>
      </w:tr>
      <w:tr w:rsidR="00537C0A" w:rsidRPr="00B259CC" w14:paraId="16540110" w14:textId="77777777" w:rsidTr="00257CAF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85159C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EP na manžela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9AE147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prodej nemovitých věcí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1584F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5774F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9EFCC6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1</w:t>
            </w:r>
          </w:p>
        </w:tc>
      </w:tr>
      <w:tr w:rsidR="00537C0A" w:rsidRPr="00B259CC" w14:paraId="1707BBE1" w14:textId="77777777" w:rsidTr="00257CAF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98114" w14:textId="77777777" w:rsidR="00537C0A" w:rsidRPr="00B259CC" w:rsidRDefault="00537C0A" w:rsidP="00257CAF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EP na manžela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c</w:t>
            </w:r>
            <w:r w:rsidRPr="00B259CC">
              <w:rPr>
                <w:rFonts w:ascii="Arial" w:hAnsi="Arial" w:cs="Arial"/>
                <w:b/>
                <w:bCs/>
                <w:color w:val="000000"/>
                <w:lang w:eastAsia="cs-CZ"/>
              </w:rPr>
              <w:t>elkem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9B3EE" w14:textId="77777777" w:rsidR="00537C0A" w:rsidRPr="00B259CC" w:rsidRDefault="00537C0A" w:rsidP="00257CAF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89F3A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000000"/>
                <w:lang w:eastAsia="cs-CZ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17851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000000"/>
                <w:lang w:eastAsia="cs-CZ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11AC31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000000"/>
                <w:lang w:eastAsia="cs-CZ"/>
              </w:rPr>
              <w:t>326</w:t>
            </w:r>
          </w:p>
        </w:tc>
      </w:tr>
      <w:tr w:rsidR="00537C0A" w:rsidRPr="00B259CC" w14:paraId="6842DA9B" w14:textId="77777777" w:rsidTr="00257CAF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F65AE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EP na ručitele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AC8DDE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jiné pohledávky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B4655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5E5B2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9CE0F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2</w:t>
            </w:r>
          </w:p>
        </w:tc>
      </w:tr>
      <w:tr w:rsidR="00537C0A" w:rsidRPr="00B259CC" w14:paraId="53DB5BD7" w14:textId="77777777" w:rsidTr="00257CAF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C95F3F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EP na ručitele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7E627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na účtech u bank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54015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183E46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9B255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60</w:t>
            </w:r>
          </w:p>
        </w:tc>
      </w:tr>
      <w:tr w:rsidR="00537C0A" w:rsidRPr="00B259CC" w14:paraId="1427D50A" w14:textId="77777777" w:rsidTr="00257CAF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F35C7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EP na ručitele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9ED1A2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prodej movitých věcí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DD127C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 </w:t>
            </w:r>
            <w:r>
              <w:rPr>
                <w:rFonts w:ascii="Arial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B08B2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2972DA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1</w:t>
            </w:r>
          </w:p>
        </w:tc>
      </w:tr>
      <w:tr w:rsidR="00537C0A" w:rsidRPr="00B259CC" w14:paraId="1C7D3A88" w14:textId="77777777" w:rsidTr="00257CAF">
        <w:trPr>
          <w:trHeight w:val="435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48AD1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EP na ručitele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EE57E2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prodej nemovitých věcí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AE386A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B72700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02BCC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 </w:t>
            </w:r>
            <w:r>
              <w:rPr>
                <w:rFonts w:ascii="Arial" w:hAnsi="Arial" w:cs="Arial"/>
                <w:color w:val="000000"/>
                <w:lang w:eastAsia="cs-CZ"/>
              </w:rPr>
              <w:t>0</w:t>
            </w:r>
          </w:p>
        </w:tc>
      </w:tr>
      <w:tr w:rsidR="00537C0A" w:rsidRPr="00B259CC" w14:paraId="2CB91BC3" w14:textId="77777777" w:rsidTr="00257CAF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B2BFB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EP na ručitele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2F4FA" w14:textId="77777777" w:rsidR="00537C0A" w:rsidRPr="00B259CC" w:rsidRDefault="00537C0A" w:rsidP="00257CAF">
            <w:pPr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srážky ze mzdy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D0EE3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0DBE1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0102B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color w:val="000000"/>
                <w:lang w:eastAsia="cs-CZ"/>
              </w:rPr>
              <w:t>9</w:t>
            </w:r>
          </w:p>
        </w:tc>
      </w:tr>
      <w:tr w:rsidR="00537C0A" w:rsidRPr="00B259CC" w14:paraId="28D7978A" w14:textId="77777777" w:rsidTr="00257CAF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ACF05" w14:textId="77777777" w:rsidR="00537C0A" w:rsidRPr="00B259CC" w:rsidRDefault="00537C0A" w:rsidP="00257CAF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EP na ručitele </w:t>
            </w: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c</w:t>
            </w:r>
            <w:r w:rsidRPr="00B259CC">
              <w:rPr>
                <w:rFonts w:ascii="Arial" w:hAnsi="Arial" w:cs="Arial"/>
                <w:b/>
                <w:bCs/>
                <w:color w:val="000000"/>
                <w:lang w:eastAsia="cs-CZ"/>
              </w:rPr>
              <w:t>elkem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4E216" w14:textId="77777777" w:rsidR="00537C0A" w:rsidRPr="00B259CC" w:rsidRDefault="00537C0A" w:rsidP="00257CAF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B235B8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000000"/>
                <w:lang w:eastAsia="cs-CZ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39182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000000"/>
                <w:lang w:eastAsia="cs-CZ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214DF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000000"/>
                <w:lang w:eastAsia="cs-CZ"/>
              </w:rPr>
              <w:t>72</w:t>
            </w:r>
          </w:p>
        </w:tc>
      </w:tr>
      <w:tr w:rsidR="00537C0A" w:rsidRPr="00B259CC" w14:paraId="243A46DD" w14:textId="77777777" w:rsidTr="00257CAF">
        <w:trPr>
          <w:trHeight w:val="300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D4B97" w14:textId="77777777" w:rsidR="00537C0A" w:rsidRPr="00B259CC" w:rsidRDefault="00537C0A" w:rsidP="00257CAF">
            <w:pPr>
              <w:rPr>
                <w:rFonts w:ascii="Arial" w:hAnsi="Arial" w:cs="Arial"/>
                <w:b/>
                <w:bCs/>
                <w:color w:val="FFFFFF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FFFFFF"/>
                <w:lang w:eastAsia="cs-CZ"/>
              </w:rPr>
              <w:t>Celkový součet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9E47A" w14:textId="77777777" w:rsidR="00537C0A" w:rsidRPr="00B259CC" w:rsidRDefault="00537C0A" w:rsidP="00257CAF">
            <w:pPr>
              <w:rPr>
                <w:rFonts w:ascii="Arial" w:hAnsi="Arial" w:cs="Arial"/>
                <w:b/>
                <w:bCs/>
                <w:color w:val="FFFFFF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FFFFFF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F09A3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b/>
                <w:bCs/>
                <w:color w:val="FFFFFF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FFFFFF"/>
                <w:lang w:eastAsia="cs-CZ"/>
              </w:rPr>
              <w:t>150 554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1B2F1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b/>
                <w:bCs/>
                <w:color w:val="FFFFFF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FFFFFF"/>
                <w:lang w:eastAsia="cs-CZ"/>
              </w:rPr>
              <w:t>178 960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AA3CA" w14:textId="77777777" w:rsidR="00537C0A" w:rsidRPr="00B259CC" w:rsidRDefault="00537C0A" w:rsidP="00257CAF">
            <w:pPr>
              <w:jc w:val="right"/>
              <w:rPr>
                <w:rFonts w:ascii="Arial" w:hAnsi="Arial" w:cs="Arial"/>
                <w:b/>
                <w:bCs/>
                <w:color w:val="FFFFFF"/>
                <w:lang w:eastAsia="cs-CZ"/>
              </w:rPr>
            </w:pPr>
            <w:r w:rsidRPr="00B259CC">
              <w:rPr>
                <w:rFonts w:ascii="Arial" w:hAnsi="Arial" w:cs="Arial"/>
                <w:b/>
                <w:bCs/>
                <w:color w:val="FFFFFF"/>
                <w:lang w:eastAsia="cs-CZ"/>
              </w:rPr>
              <w:t>194 063</w:t>
            </w:r>
          </w:p>
        </w:tc>
      </w:tr>
    </w:tbl>
    <w:p w14:paraId="6ABD54E3" w14:textId="77777777" w:rsidR="00537C0A" w:rsidRDefault="00537C0A" w:rsidP="00537C0A">
      <w:pPr>
        <w:pStyle w:val="Default"/>
        <w:spacing w:after="207"/>
        <w:jc w:val="both"/>
        <w:rPr>
          <w:rFonts w:ascii="Arial" w:hAnsi="Arial" w:cs="Arial"/>
          <w:b/>
          <w:bCs/>
          <w:sz w:val="22"/>
          <w:szCs w:val="22"/>
        </w:rPr>
      </w:pPr>
    </w:p>
    <w:p w14:paraId="7C6E890A" w14:textId="77777777" w:rsidR="00537C0A" w:rsidRPr="00B259CC" w:rsidRDefault="00537C0A" w:rsidP="00537C0A">
      <w:pPr>
        <w:pStyle w:val="Default"/>
        <w:spacing w:after="207"/>
        <w:jc w:val="both"/>
        <w:rPr>
          <w:rFonts w:ascii="Arial" w:hAnsi="Arial" w:cs="Arial"/>
          <w:b/>
          <w:bCs/>
          <w:sz w:val="22"/>
          <w:szCs w:val="22"/>
        </w:rPr>
      </w:pPr>
      <w:r w:rsidRPr="00B259CC">
        <w:rPr>
          <w:rFonts w:ascii="Arial" w:hAnsi="Arial" w:cs="Arial"/>
          <w:b/>
          <w:bCs/>
          <w:sz w:val="22"/>
          <w:szCs w:val="22"/>
        </w:rPr>
        <w:t xml:space="preserve">Ad 9) </w:t>
      </w:r>
    </w:p>
    <w:tbl>
      <w:tblPr>
        <w:tblW w:w="947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1241"/>
        <w:gridCol w:w="1405"/>
        <w:gridCol w:w="1229"/>
      </w:tblGrid>
      <w:tr w:rsidR="00537C0A" w:rsidRPr="002C4FB6" w14:paraId="7893AE0C" w14:textId="77777777" w:rsidTr="00257CAF">
        <w:trPr>
          <w:trHeight w:val="317"/>
        </w:trPr>
        <w:tc>
          <w:tcPr>
            <w:tcW w:w="5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C3926" w14:textId="77777777" w:rsidR="00537C0A" w:rsidRPr="002C4FB6" w:rsidRDefault="00537C0A" w:rsidP="00257CAF">
            <w:pPr>
              <w:jc w:val="both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R</w:t>
            </w:r>
            <w:r w:rsidRPr="002C4FB6">
              <w:rPr>
                <w:rFonts w:ascii="Arial" w:hAnsi="Arial" w:cs="Arial"/>
                <w:b/>
                <w:bCs/>
                <w:color w:val="000000"/>
                <w:lang w:eastAsia="cs-CZ"/>
              </w:rPr>
              <w:t>ok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792BAB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CEFD3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94E0A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color w:val="000000"/>
                <w:lang w:eastAsia="cs-CZ"/>
              </w:rPr>
              <w:t>2024</w:t>
            </w:r>
          </w:p>
        </w:tc>
      </w:tr>
      <w:tr w:rsidR="00537C0A" w:rsidRPr="002C4FB6" w14:paraId="13E59D02" w14:textId="77777777" w:rsidTr="00257CAF">
        <w:trPr>
          <w:trHeight w:val="317"/>
        </w:trPr>
        <w:tc>
          <w:tcPr>
            <w:tcW w:w="5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8E916" w14:textId="77777777" w:rsidR="00537C0A" w:rsidRPr="00E5536C" w:rsidRDefault="00537C0A" w:rsidP="00257CAF">
            <w:pPr>
              <w:jc w:val="both"/>
              <w:rPr>
                <w:rFonts w:ascii="Arial" w:hAnsi="Arial" w:cs="Arial"/>
                <w:color w:val="000000"/>
                <w:lang w:eastAsia="cs-CZ"/>
              </w:rPr>
            </w:pPr>
            <w:r w:rsidRPr="00E5536C">
              <w:rPr>
                <w:rFonts w:ascii="Arial" w:hAnsi="Arial" w:cs="Arial"/>
                <w:color w:val="000000"/>
                <w:lang w:eastAsia="cs-CZ"/>
              </w:rPr>
              <w:t xml:space="preserve">Počet nařízených dražeb nemovitých věcí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62CC08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AF5556">
              <w:rPr>
                <w:rFonts w:ascii="Arial" w:hAnsi="Arial" w:cs="Arial"/>
                <w:color w:val="000000"/>
                <w:lang w:eastAsia="cs-CZ"/>
              </w:rPr>
              <w:t>166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3A1CFC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AF5556">
              <w:rPr>
                <w:rFonts w:ascii="Arial" w:hAnsi="Arial" w:cs="Arial"/>
                <w:color w:val="000000"/>
                <w:lang w:eastAsia="cs-CZ"/>
              </w:rPr>
              <w:t>168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6AD5C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AF5556">
              <w:rPr>
                <w:rFonts w:ascii="Arial" w:hAnsi="Arial" w:cs="Arial"/>
                <w:color w:val="000000"/>
                <w:lang w:eastAsia="cs-CZ"/>
              </w:rPr>
              <w:t>126</w:t>
            </w:r>
          </w:p>
        </w:tc>
      </w:tr>
    </w:tbl>
    <w:p w14:paraId="6AC50F7E" w14:textId="77777777" w:rsidR="00537C0A" w:rsidRPr="00E5536C" w:rsidRDefault="00537C0A" w:rsidP="00537C0A">
      <w:pPr>
        <w:pStyle w:val="Default"/>
        <w:spacing w:after="207"/>
        <w:jc w:val="both"/>
        <w:rPr>
          <w:rFonts w:ascii="Arial" w:hAnsi="Arial" w:cs="Arial"/>
          <w:i/>
          <w:iCs/>
          <w:sz w:val="22"/>
          <w:szCs w:val="22"/>
        </w:rPr>
      </w:pPr>
      <w:r w:rsidRPr="00E5536C">
        <w:rPr>
          <w:rFonts w:ascii="Arial" w:hAnsi="Arial" w:cs="Arial"/>
          <w:i/>
          <w:iCs/>
          <w:sz w:val="22"/>
          <w:szCs w:val="22"/>
        </w:rPr>
        <w:t>Zdroj: Evidence dražeb (APED, PAPR)</w:t>
      </w:r>
    </w:p>
    <w:p w14:paraId="24F056B3" w14:textId="77777777" w:rsidR="00537C0A" w:rsidRDefault="00537C0A" w:rsidP="00537C0A">
      <w:pPr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br w:type="page"/>
      </w:r>
    </w:p>
    <w:p w14:paraId="333AE9AB" w14:textId="77777777" w:rsidR="00537C0A" w:rsidRPr="00B259CC" w:rsidRDefault="00537C0A" w:rsidP="00537C0A">
      <w:pPr>
        <w:pStyle w:val="Default"/>
        <w:spacing w:after="207"/>
        <w:jc w:val="both"/>
        <w:rPr>
          <w:rFonts w:ascii="Arial" w:hAnsi="Arial" w:cs="Arial"/>
          <w:b/>
          <w:bCs/>
          <w:sz w:val="22"/>
          <w:szCs w:val="22"/>
        </w:rPr>
      </w:pPr>
      <w:r w:rsidRPr="00B259CC">
        <w:rPr>
          <w:rFonts w:ascii="Arial" w:hAnsi="Arial" w:cs="Arial"/>
          <w:b/>
          <w:bCs/>
          <w:sz w:val="22"/>
          <w:szCs w:val="22"/>
        </w:rPr>
        <w:lastRenderedPageBreak/>
        <w:t xml:space="preserve">Ad 10) </w:t>
      </w:r>
    </w:p>
    <w:tbl>
      <w:tblPr>
        <w:tblW w:w="912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1396"/>
        <w:gridCol w:w="1396"/>
        <w:gridCol w:w="1396"/>
      </w:tblGrid>
      <w:tr w:rsidR="00537C0A" w:rsidRPr="002C4FB6" w14:paraId="7828A7EA" w14:textId="77777777" w:rsidTr="00257CAF">
        <w:trPr>
          <w:trHeight w:val="396"/>
        </w:trPr>
        <w:tc>
          <w:tcPr>
            <w:tcW w:w="4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231A63" w14:textId="77777777" w:rsidR="00537C0A" w:rsidRPr="002C4FB6" w:rsidRDefault="00537C0A" w:rsidP="00257CAF">
            <w:pPr>
              <w:jc w:val="both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R</w:t>
            </w:r>
            <w:r w:rsidRPr="002C4FB6">
              <w:rPr>
                <w:rFonts w:ascii="Arial" w:hAnsi="Arial" w:cs="Arial"/>
                <w:b/>
                <w:bCs/>
                <w:color w:val="000000"/>
                <w:lang w:eastAsia="cs-CZ"/>
              </w:rPr>
              <w:t>ok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83CEE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63EC5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2C9E8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color w:val="000000"/>
                <w:lang w:eastAsia="cs-CZ"/>
              </w:rPr>
              <w:t>2024</w:t>
            </w:r>
          </w:p>
        </w:tc>
      </w:tr>
      <w:tr w:rsidR="00537C0A" w:rsidRPr="002C4FB6" w14:paraId="5101171F" w14:textId="77777777" w:rsidTr="00257CAF">
        <w:trPr>
          <w:trHeight w:val="396"/>
        </w:trPr>
        <w:tc>
          <w:tcPr>
            <w:tcW w:w="4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BEA5A8" w14:textId="77777777" w:rsidR="00537C0A" w:rsidRPr="002C4FB6" w:rsidRDefault="00537C0A" w:rsidP="00257CAF">
            <w:pPr>
              <w:jc w:val="both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Počet nařízených dražeb movitých věcí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5FC5F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AF5556">
              <w:rPr>
                <w:rFonts w:ascii="Arial" w:hAnsi="Arial" w:cs="Arial"/>
                <w:color w:val="000000"/>
                <w:lang w:eastAsia="cs-CZ"/>
              </w:rPr>
              <w:t>442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F6FED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AF5556">
              <w:rPr>
                <w:rFonts w:ascii="Arial" w:hAnsi="Arial" w:cs="Arial"/>
                <w:color w:val="000000"/>
                <w:lang w:eastAsia="cs-CZ"/>
              </w:rPr>
              <w:t>697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59F67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AF5556">
              <w:rPr>
                <w:rFonts w:ascii="Arial" w:hAnsi="Arial" w:cs="Arial"/>
                <w:color w:val="000000"/>
                <w:lang w:eastAsia="cs-CZ"/>
              </w:rPr>
              <w:t>1122</w:t>
            </w:r>
          </w:p>
        </w:tc>
      </w:tr>
    </w:tbl>
    <w:p w14:paraId="31E0DEE6" w14:textId="77777777" w:rsidR="00537C0A" w:rsidRPr="00E5536C" w:rsidRDefault="00537C0A" w:rsidP="00537C0A">
      <w:pPr>
        <w:pStyle w:val="Default"/>
        <w:spacing w:after="207"/>
        <w:jc w:val="both"/>
        <w:rPr>
          <w:rFonts w:ascii="Arial" w:hAnsi="Arial" w:cs="Arial"/>
          <w:i/>
          <w:iCs/>
          <w:sz w:val="22"/>
          <w:szCs w:val="22"/>
        </w:rPr>
      </w:pPr>
      <w:r w:rsidRPr="00E5536C">
        <w:rPr>
          <w:rFonts w:ascii="Arial" w:hAnsi="Arial" w:cs="Arial"/>
          <w:i/>
          <w:iCs/>
          <w:sz w:val="22"/>
          <w:szCs w:val="22"/>
        </w:rPr>
        <w:t>Zdroj: Evidence dražeb (APED, PAPR)</w:t>
      </w:r>
    </w:p>
    <w:p w14:paraId="1AD3E0D8" w14:textId="77777777" w:rsidR="00537C0A" w:rsidRPr="00B259CC" w:rsidRDefault="00537C0A" w:rsidP="00537C0A">
      <w:pPr>
        <w:pStyle w:val="Default"/>
        <w:spacing w:after="24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259CC">
        <w:rPr>
          <w:rFonts w:ascii="Arial" w:hAnsi="Arial" w:cs="Arial"/>
          <w:b/>
          <w:bCs/>
          <w:sz w:val="22"/>
          <w:szCs w:val="22"/>
        </w:rPr>
        <w:t xml:space="preserve">Ad 11) </w:t>
      </w:r>
    </w:p>
    <w:tbl>
      <w:tblPr>
        <w:tblW w:w="914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1"/>
        <w:gridCol w:w="164"/>
        <w:gridCol w:w="1240"/>
        <w:gridCol w:w="1399"/>
        <w:gridCol w:w="1399"/>
      </w:tblGrid>
      <w:tr w:rsidR="00537C0A" w:rsidRPr="002C4FB6" w14:paraId="08AF7EAC" w14:textId="77777777" w:rsidTr="00257CAF">
        <w:trPr>
          <w:trHeight w:val="344"/>
        </w:trPr>
        <w:tc>
          <w:tcPr>
            <w:tcW w:w="4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5764A" w14:textId="77777777" w:rsidR="00537C0A" w:rsidRPr="002C4FB6" w:rsidRDefault="00537C0A" w:rsidP="00257CAF">
            <w:pPr>
              <w:jc w:val="both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R</w:t>
            </w:r>
            <w:r w:rsidRPr="002C4FB6">
              <w:rPr>
                <w:rFonts w:ascii="Arial" w:hAnsi="Arial" w:cs="Arial"/>
                <w:b/>
                <w:bCs/>
                <w:color w:val="000000"/>
                <w:lang w:eastAsia="cs-CZ"/>
              </w:rPr>
              <w:t>ok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7DB16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CAB8A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9EDC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DB117" w14:textId="77777777" w:rsidR="00537C0A" w:rsidRPr="002C4FB6" w:rsidRDefault="00537C0A" w:rsidP="00257CA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color w:val="000000"/>
                <w:lang w:eastAsia="cs-CZ"/>
              </w:rPr>
              <w:t>2024</w:t>
            </w:r>
          </w:p>
        </w:tc>
      </w:tr>
      <w:tr w:rsidR="00537C0A" w:rsidRPr="002C4FB6" w14:paraId="1100FB6B" w14:textId="77777777" w:rsidTr="00257CAF">
        <w:trPr>
          <w:trHeight w:val="344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B529E" w14:textId="77777777" w:rsidR="00537C0A" w:rsidRPr="002C4FB6" w:rsidRDefault="00537C0A" w:rsidP="00257CAF">
            <w:pPr>
              <w:jc w:val="both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2C4FB6">
              <w:rPr>
                <w:rFonts w:ascii="Arial" w:hAnsi="Arial" w:cs="Arial"/>
                <w:b/>
                <w:bCs/>
                <w:color w:val="000000"/>
                <w:lang w:eastAsia="cs-CZ"/>
              </w:rPr>
              <w:t>Počet provedených soupisů movitých věcí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D51D7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AF5556">
              <w:rPr>
                <w:rFonts w:ascii="Arial" w:hAnsi="Arial" w:cs="Arial"/>
                <w:color w:val="000000"/>
                <w:lang w:eastAsia="cs-CZ"/>
              </w:rPr>
              <w:t>1442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F961CC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AF5556">
              <w:rPr>
                <w:rFonts w:ascii="Arial" w:hAnsi="Arial" w:cs="Arial"/>
                <w:color w:val="000000"/>
                <w:lang w:eastAsia="cs-CZ"/>
              </w:rPr>
              <w:t>1610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29ADE5" w14:textId="77777777" w:rsidR="00537C0A" w:rsidRPr="00AF5556" w:rsidRDefault="00537C0A" w:rsidP="00257CAF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AF5556">
              <w:rPr>
                <w:rFonts w:ascii="Arial" w:hAnsi="Arial" w:cs="Arial"/>
                <w:color w:val="000000"/>
                <w:lang w:eastAsia="cs-CZ"/>
              </w:rPr>
              <w:t>1225</w:t>
            </w:r>
          </w:p>
        </w:tc>
      </w:tr>
      <w:tr w:rsidR="00537C0A" w:rsidRPr="002C4FB6" w14:paraId="0FF10DBB" w14:textId="77777777" w:rsidTr="00257CAF">
        <w:trPr>
          <w:gridAfter w:val="3"/>
          <w:wAfter w:w="4038" w:type="dxa"/>
          <w:trHeight w:val="344"/>
        </w:trPr>
        <w:tc>
          <w:tcPr>
            <w:tcW w:w="510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B9E773" w14:textId="77777777" w:rsidR="00537C0A" w:rsidRPr="00E5536C" w:rsidRDefault="00537C0A" w:rsidP="00257CAF">
            <w:pPr>
              <w:jc w:val="both"/>
              <w:rPr>
                <w:rFonts w:ascii="Arial" w:hAnsi="Arial" w:cs="Arial"/>
                <w:i/>
                <w:iCs/>
                <w:color w:val="000000"/>
                <w:lang w:eastAsia="cs-CZ"/>
              </w:rPr>
            </w:pPr>
            <w:r w:rsidRPr="00E5536C">
              <w:rPr>
                <w:rFonts w:ascii="Arial" w:hAnsi="Arial" w:cs="Arial"/>
                <w:i/>
                <w:iCs/>
                <w:color w:val="000000"/>
                <w:lang w:eastAsia="cs-CZ"/>
              </w:rPr>
              <w:t>Zdroj: ADIS FS ČR</w:t>
            </w:r>
          </w:p>
        </w:tc>
      </w:tr>
    </w:tbl>
    <w:p w14:paraId="2DA88897" w14:textId="77777777" w:rsidR="00537C0A" w:rsidRPr="002C4FB6" w:rsidRDefault="00537C0A" w:rsidP="00537C0A">
      <w:pPr>
        <w:jc w:val="both"/>
        <w:rPr>
          <w:rFonts w:ascii="Arial" w:hAnsi="Arial" w:cs="Arial"/>
          <w14:ligatures w14:val="standardContextual"/>
        </w:rPr>
      </w:pPr>
    </w:p>
    <w:p w14:paraId="6E4DCA6C" w14:textId="77777777" w:rsidR="00537C0A" w:rsidRPr="0059326F" w:rsidRDefault="00537C0A" w:rsidP="00537C0A">
      <w:pPr>
        <w:rPr>
          <w:rFonts w:ascii="Arial" w:hAnsi="Arial" w:cs="Arial"/>
          <w:b/>
          <w:u w:val="single"/>
        </w:rPr>
      </w:pPr>
    </w:p>
    <w:p w14:paraId="54A9FCEE" w14:textId="77777777" w:rsidR="001E1838" w:rsidRDefault="001E1838"/>
    <w:sectPr w:rsidR="001E1838" w:rsidSect="00537C0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0A"/>
    <w:rsid w:val="00010F35"/>
    <w:rsid w:val="000C0B59"/>
    <w:rsid w:val="001E1838"/>
    <w:rsid w:val="0039549D"/>
    <w:rsid w:val="00537C0A"/>
    <w:rsid w:val="0063463A"/>
    <w:rsid w:val="008A4FD7"/>
    <w:rsid w:val="0094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D095"/>
  <w15:chartTrackingRefBased/>
  <w15:docId w15:val="{45FCB6D3-1F9C-4FCE-BD52-21871D0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7C0A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37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7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7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7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7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7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7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7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7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7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7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7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7C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C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7C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7C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7C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7C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7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7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7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7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7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7C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7C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7C0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7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7C0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7C0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nhideWhenUsed/>
    <w:rsid w:val="00537C0A"/>
    <w:rPr>
      <w:color w:val="0000FF"/>
      <w:u w:val="single"/>
    </w:rPr>
  </w:style>
  <w:style w:type="paragraph" w:customStyle="1" w:styleId="Default">
    <w:name w:val="Default"/>
    <w:basedOn w:val="Normln"/>
    <w:rsid w:val="00537C0A"/>
    <w:pPr>
      <w:autoSpaceDE w:val="0"/>
      <w:autoSpaceDN w:val="0"/>
      <w:spacing w:after="0" w:line="240" w:lineRule="auto"/>
    </w:pPr>
    <w:rPr>
      <w:rFonts w:ascii="Garamond" w:hAnsi="Garamond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cr.cz/cs/dane-a-ucetnictvi/dane/danove-a-celni-statistiky/zpravy-o-cinnosti-financni-a-celni-sprav/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1173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2025-03-05T13:02:00Z</dcterms:created>
  <dcterms:modified xsi:type="dcterms:W3CDTF">2025-03-05T13:18:00Z</dcterms:modified>
</cp:coreProperties>
</file>