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91B3" w14:textId="547A5E3F" w:rsidR="003E622D" w:rsidRPr="000B0B3F" w:rsidRDefault="003E622D" w:rsidP="003E62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14:ligatures w14:val="standardContextual"/>
        </w:rPr>
      </w:pPr>
      <w:r>
        <w:rPr>
          <w:rFonts w:ascii="Arial" w:hAnsi="Arial" w:cs="Arial"/>
          <w:b/>
          <w:bCs/>
          <w:u w:val="single"/>
          <w14:ligatures w14:val="standardContextual"/>
        </w:rPr>
        <w:t>Cenové dohody s daňovými subjekty dle DZP</w:t>
      </w:r>
      <w:r>
        <w:rPr>
          <w:rFonts w:ascii="Arial" w:hAnsi="Arial" w:cs="Arial"/>
          <w:b/>
          <w:bCs/>
          <w:u w:val="single"/>
          <w14:ligatures w14:val="standardContextual"/>
        </w:rPr>
        <w:t xml:space="preserve"> </w:t>
      </w:r>
      <w:r w:rsidRPr="005F1B4B">
        <w:rPr>
          <w:rFonts w:ascii="Arial" w:hAnsi="Arial" w:cs="Arial"/>
          <w:b/>
          <w:u w:val="single"/>
        </w:rPr>
        <w:t>(</w:t>
      </w:r>
      <w:r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6</w:t>
      </w:r>
      <w:r w:rsidRPr="005F1B4B">
        <w:rPr>
          <w:rFonts w:ascii="Arial" w:hAnsi="Arial" w:cs="Arial"/>
          <w:b/>
          <w:u w:val="single"/>
        </w:rPr>
        <w:t xml:space="preserve">/24) </w:t>
      </w:r>
    </w:p>
    <w:p w14:paraId="6A9E45B5" w14:textId="77777777" w:rsidR="003E622D" w:rsidRPr="00F9544E" w:rsidRDefault="003E622D" w:rsidP="003E622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4E52E1C" w14:textId="77777777" w:rsidR="003E622D" w:rsidRDefault="003E622D" w:rsidP="003E622D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0B0B3F">
        <w:rPr>
          <w:rFonts w:ascii="Arial" w:hAnsi="Arial" w:cs="Arial"/>
          <w:b/>
          <w:u w:val="single"/>
        </w:rPr>
        <w:t xml:space="preserve">Dotaz: </w:t>
      </w:r>
    </w:p>
    <w:p w14:paraId="457E0172" w14:textId="2B3D679E" w:rsidR="003E622D" w:rsidRPr="003E622D" w:rsidRDefault="003E622D" w:rsidP="003E622D">
      <w:pPr>
        <w:spacing w:line="276" w:lineRule="auto"/>
        <w:jc w:val="both"/>
        <w:rPr>
          <w:rFonts w:ascii="Arial" w:hAnsi="Arial" w:cs="Arial"/>
        </w:rPr>
      </w:pPr>
      <w:r w:rsidRPr="003E622D">
        <w:rPr>
          <w:rFonts w:ascii="Arial" w:hAnsi="Arial" w:cs="Arial"/>
        </w:rPr>
        <w:t xml:space="preserve">Žádám o poskytnutí následujícího: </w:t>
      </w:r>
    </w:p>
    <w:p w14:paraId="0E0A3FD2" w14:textId="77777777" w:rsidR="003E622D" w:rsidRPr="003E622D" w:rsidRDefault="003E622D" w:rsidP="003E622D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3E622D">
        <w:rPr>
          <w:rFonts w:ascii="Arial" w:hAnsi="Arial" w:cs="Arial"/>
          <w:sz w:val="22"/>
          <w:szCs w:val="22"/>
          <w:lang w:val="cs-CZ"/>
        </w:rPr>
        <w:t>Kolik daňových subjektů se obrátilo na orgány Finanční správy ČR s žádostí podle § 38nc a násl. ZDP v posledních deseti letech, tedy v období let (zdaňovacích období) 2013 až 2023 včetně? Pokud by to bylo možné, žádám vás o tuto informaci kategorizovanou podle let, abych mohl vyčíst vývoj využívání tohoto institutu daňovými subjekty, a to včetně zahraničních, které se na Vás s touto žádostí obrátily, ačkoliv nejsou českými daňovými rezidenty (§ 38nd ZDP). V případné odpovědi vás žádám o rozlišení daňových subjektů podle toho, zda podaly žádost podle § 38nc nebo § 38nd ZDP.</w:t>
      </w:r>
    </w:p>
    <w:p w14:paraId="3A3F00C1" w14:textId="77777777" w:rsidR="003E622D" w:rsidRPr="003E622D" w:rsidRDefault="003E622D" w:rsidP="003E622D">
      <w:pPr>
        <w:pStyle w:val="Odstavecseseznamem"/>
        <w:spacing w:after="120"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1E0CBF10" w14:textId="77777777" w:rsidR="003E622D" w:rsidRPr="003E622D" w:rsidRDefault="003E622D" w:rsidP="003E622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3E622D">
        <w:rPr>
          <w:rFonts w:ascii="Arial" w:hAnsi="Arial" w:cs="Arial"/>
          <w:sz w:val="22"/>
          <w:szCs w:val="22"/>
          <w:lang w:val="cs-CZ"/>
        </w:rPr>
        <w:t xml:space="preserve">Kolik z těchto daňových subjektů, které se v tomto časovém rozmezí obrátily na orgány Finanční správy ČR s výše uvedenou žádostí, úspěšně dosáhlo požadovaného ujednání, tedy této „cenové dohody“? Kolik z těchto daňových subjektů, které dosáhly této cenové dohody, poté přesto vedlo spor o výši příslušných převodních cen s orgány Finanční správy ČR či se soudy, tedy laicky řešeno, jaká je úspěšnost těchto cenových dohod? Do toho zahrnuji jak návrh na zrušení rozhodnutí o závazném posouzení ceny podle § 38nc odst. 3 ZDP, tak i jakékoliv jiné alternativy neúspěchu při sjednávání těchto cenových dohod. </w:t>
      </w:r>
    </w:p>
    <w:p w14:paraId="6A0A7F35" w14:textId="77777777" w:rsidR="003E622D" w:rsidRPr="003E622D" w:rsidRDefault="003E622D" w:rsidP="003E622D">
      <w:pPr>
        <w:pStyle w:val="Odstavecseseznamem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2FBF0F83" w14:textId="77777777" w:rsidR="003E622D" w:rsidRPr="003E622D" w:rsidRDefault="003E622D" w:rsidP="003E622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3E622D">
        <w:rPr>
          <w:rFonts w:ascii="Arial" w:hAnsi="Arial" w:cs="Arial"/>
          <w:sz w:val="22"/>
          <w:szCs w:val="22"/>
          <w:lang w:val="cs-CZ"/>
        </w:rPr>
        <w:t xml:space="preserve">Kdy zhruba bude mít Generální finanční ředitelství, případně jiný příslušný orgán, informace ohledně výše zmíněných dotazů pro rok 2024? </w:t>
      </w:r>
    </w:p>
    <w:p w14:paraId="4FC2E6B6" w14:textId="77777777" w:rsidR="003E622D" w:rsidRPr="003E622D" w:rsidRDefault="003E622D" w:rsidP="003E622D">
      <w:pPr>
        <w:pStyle w:val="Odstavecseseznamem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0319B0F5" w14:textId="77777777" w:rsidR="003E622D" w:rsidRPr="003E622D" w:rsidRDefault="003E622D" w:rsidP="003E622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3E622D">
        <w:rPr>
          <w:rFonts w:ascii="Arial" w:hAnsi="Arial" w:cs="Arial"/>
          <w:sz w:val="22"/>
          <w:szCs w:val="22"/>
          <w:lang w:val="cs-CZ"/>
        </w:rPr>
        <w:t xml:space="preserve">Jaká metoda se využívala nejčastěji v případě uzavření takových dohod? Mám na mysli metody jak transakční (tedy CUP, RPM, C+), tak i ziskové (tedy TNMM a PSM). Rovněž vás žádám o kategorizaci této odpovědi podle let zmíněných výše. </w:t>
      </w:r>
    </w:p>
    <w:p w14:paraId="0BA65C82" w14:textId="77777777" w:rsidR="003E622D" w:rsidRPr="003E622D" w:rsidRDefault="003E622D" w:rsidP="003E622D">
      <w:pPr>
        <w:pStyle w:val="Odstavecseseznamem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4F860B5F" w14:textId="77777777" w:rsidR="003E622D" w:rsidRPr="003E622D" w:rsidRDefault="003E622D" w:rsidP="003E622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3E622D">
        <w:rPr>
          <w:rFonts w:ascii="Arial" w:hAnsi="Arial" w:cs="Arial"/>
          <w:sz w:val="22"/>
          <w:szCs w:val="22"/>
          <w:lang w:val="cs-CZ"/>
        </w:rPr>
        <w:t xml:space="preserve">Jak dlouho průměrně trvá uzavření takové dohody, s ohledem na zvolenou metodu stanovení převodní ceny? Mám tím na mysli dobu od podání žádosti podle § 38nc či § 38nd ZDP do uzavření takové dohody. Rovněž vás žádám o kategorizaci této informace podle let zmíněných výše. </w:t>
      </w:r>
    </w:p>
    <w:p w14:paraId="646F119A" w14:textId="77777777" w:rsidR="003E622D" w:rsidRPr="003E622D" w:rsidRDefault="003E622D" w:rsidP="003E622D">
      <w:pPr>
        <w:pStyle w:val="Odstavecseseznamem"/>
        <w:rPr>
          <w:rFonts w:ascii="Arial" w:hAnsi="Arial" w:cs="Arial"/>
          <w:sz w:val="22"/>
          <w:szCs w:val="22"/>
        </w:rPr>
      </w:pPr>
    </w:p>
    <w:p w14:paraId="78F53183" w14:textId="193BB86D" w:rsidR="003E622D" w:rsidRPr="003E622D" w:rsidRDefault="003E622D" w:rsidP="003E622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 w:rsidRPr="003E622D">
        <w:rPr>
          <w:rFonts w:ascii="Arial" w:hAnsi="Arial" w:cs="Arial"/>
          <w:sz w:val="22"/>
          <w:szCs w:val="22"/>
        </w:rPr>
        <w:t>Závěrem</w:t>
      </w:r>
      <w:proofErr w:type="spellEnd"/>
      <w:r w:rsidRPr="003E622D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3E622D">
        <w:rPr>
          <w:rFonts w:ascii="Arial" w:hAnsi="Arial" w:cs="Arial"/>
          <w:sz w:val="22"/>
          <w:szCs w:val="22"/>
        </w:rPr>
        <w:t>na</w:t>
      </w:r>
      <w:proofErr w:type="spellEnd"/>
      <w:r w:rsidRPr="003E62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622D">
        <w:rPr>
          <w:rFonts w:ascii="Arial" w:hAnsi="Arial" w:cs="Arial"/>
          <w:sz w:val="22"/>
          <w:szCs w:val="22"/>
        </w:rPr>
        <w:t>vás</w:t>
      </w:r>
      <w:proofErr w:type="spellEnd"/>
      <w:r w:rsidRPr="003E62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622D">
        <w:rPr>
          <w:rFonts w:ascii="Arial" w:hAnsi="Arial" w:cs="Arial"/>
          <w:sz w:val="22"/>
          <w:szCs w:val="22"/>
        </w:rPr>
        <w:t>obracím</w:t>
      </w:r>
      <w:proofErr w:type="spellEnd"/>
      <w:r w:rsidRPr="003E622D">
        <w:rPr>
          <w:rFonts w:ascii="Arial" w:hAnsi="Arial" w:cs="Arial"/>
          <w:sz w:val="22"/>
          <w:szCs w:val="22"/>
        </w:rPr>
        <w:t xml:space="preserve"> s dotazem, zda se pro Finanční </w:t>
      </w:r>
      <w:proofErr w:type="spellStart"/>
      <w:r w:rsidRPr="003E622D">
        <w:rPr>
          <w:rFonts w:ascii="Arial" w:hAnsi="Arial" w:cs="Arial"/>
          <w:sz w:val="22"/>
          <w:szCs w:val="22"/>
        </w:rPr>
        <w:t>správu</w:t>
      </w:r>
      <w:proofErr w:type="spellEnd"/>
      <w:r w:rsidRPr="003E622D">
        <w:rPr>
          <w:rFonts w:ascii="Arial" w:hAnsi="Arial" w:cs="Arial"/>
          <w:sz w:val="22"/>
          <w:szCs w:val="22"/>
        </w:rPr>
        <w:t xml:space="preserve"> ČR </w:t>
      </w:r>
      <w:proofErr w:type="spellStart"/>
      <w:r w:rsidRPr="003E622D">
        <w:rPr>
          <w:rFonts w:ascii="Arial" w:hAnsi="Arial" w:cs="Arial"/>
          <w:sz w:val="22"/>
          <w:szCs w:val="22"/>
        </w:rPr>
        <w:t>jedná</w:t>
      </w:r>
      <w:proofErr w:type="spellEnd"/>
      <w:r w:rsidRPr="003E622D">
        <w:rPr>
          <w:rFonts w:ascii="Arial" w:hAnsi="Arial" w:cs="Arial"/>
          <w:sz w:val="22"/>
          <w:szCs w:val="22"/>
        </w:rPr>
        <w:t xml:space="preserve"> o</w:t>
      </w:r>
      <w:r w:rsidRPr="003E622D">
        <w:rPr>
          <w:rFonts w:ascii="Arial" w:hAnsi="Arial" w:cs="Arial"/>
          <w:sz w:val="22"/>
          <w:szCs w:val="22"/>
        </w:rPr>
        <w:t> </w:t>
      </w:r>
      <w:proofErr w:type="spellStart"/>
      <w:r w:rsidRPr="003E622D">
        <w:rPr>
          <w:rFonts w:ascii="Arial" w:hAnsi="Arial" w:cs="Arial"/>
          <w:sz w:val="22"/>
          <w:szCs w:val="22"/>
        </w:rPr>
        <w:t>preferovaný</w:t>
      </w:r>
      <w:proofErr w:type="spellEnd"/>
      <w:r w:rsidRPr="003E62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622D">
        <w:rPr>
          <w:rFonts w:ascii="Arial" w:hAnsi="Arial" w:cs="Arial"/>
          <w:sz w:val="22"/>
          <w:szCs w:val="22"/>
        </w:rPr>
        <w:t>způsob</w:t>
      </w:r>
      <w:proofErr w:type="spellEnd"/>
      <w:r w:rsidRPr="003E62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622D">
        <w:rPr>
          <w:rFonts w:ascii="Arial" w:hAnsi="Arial" w:cs="Arial"/>
          <w:sz w:val="22"/>
          <w:szCs w:val="22"/>
        </w:rPr>
        <w:t>stanovování</w:t>
      </w:r>
      <w:proofErr w:type="spellEnd"/>
      <w:r w:rsidRPr="003E62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622D">
        <w:rPr>
          <w:rFonts w:ascii="Arial" w:hAnsi="Arial" w:cs="Arial"/>
          <w:sz w:val="22"/>
          <w:szCs w:val="22"/>
        </w:rPr>
        <w:t>převodních</w:t>
      </w:r>
      <w:proofErr w:type="spellEnd"/>
      <w:r w:rsidRPr="003E62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622D">
        <w:rPr>
          <w:rFonts w:ascii="Arial" w:hAnsi="Arial" w:cs="Arial"/>
          <w:sz w:val="22"/>
          <w:szCs w:val="22"/>
        </w:rPr>
        <w:t>cen</w:t>
      </w:r>
      <w:proofErr w:type="spellEnd"/>
      <w:r w:rsidRPr="003E622D">
        <w:rPr>
          <w:rFonts w:ascii="Arial" w:hAnsi="Arial" w:cs="Arial"/>
          <w:sz w:val="22"/>
          <w:szCs w:val="22"/>
        </w:rPr>
        <w:t xml:space="preserve">, potažmo o preferovaný způsob dosažení dohody o jejich výši, a pokud ano, jaké kroky Finanční správa ČR podnikla či podniká pro udržení tohoto stavu nebo zvýšení popularity tohoto institutu? Mám tím na mysli jakýkoliv způsob propagace na internetových stránkách, a to jak Finanční správy ČR, Ministerstva Financí ČR či jiného příslušného orgánu, v hromadných sdělovacích prostředcích, prostřednictvím různých programových materiálů či politik interně závazných pro příslušné orgány jednající s daňovými subjekty v této věci, komunikace a zvolené postupy ze strany orgánů Finanční správy ČR s daňovými subjekty v této věci apod. </w:t>
      </w:r>
    </w:p>
    <w:p w14:paraId="7F356F33" w14:textId="77777777" w:rsidR="003E622D" w:rsidRDefault="003E622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24442665" w14:textId="77D9F268" w:rsidR="003E622D" w:rsidRPr="006C184B" w:rsidRDefault="003E622D" w:rsidP="003E622D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6C184B">
        <w:rPr>
          <w:rFonts w:ascii="Arial" w:hAnsi="Arial" w:cs="Arial"/>
          <w:b/>
          <w:u w:val="single"/>
        </w:rPr>
        <w:lastRenderedPageBreak/>
        <w:t xml:space="preserve">Odpověď: </w:t>
      </w:r>
    </w:p>
    <w:p w14:paraId="38BF2A75" w14:textId="22EF2B27" w:rsidR="003E622D" w:rsidRDefault="003E622D" w:rsidP="003E622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 xml:space="preserve">K uvedeným dotazům Vám poskytujeme ty informace, které je možno poskytnout bez nutnosti úhrady. </w:t>
      </w:r>
    </w:p>
    <w:p w14:paraId="18CCA1CC" w14:textId="77777777" w:rsidR="003E622D" w:rsidRPr="00513659" w:rsidRDefault="003E622D" w:rsidP="003E622D">
      <w:pPr>
        <w:jc w:val="both"/>
        <w:rPr>
          <w:rFonts w:ascii="Arial" w:hAnsi="Arial" w:cs="Arial"/>
          <w:b/>
          <w:bCs/>
        </w:rPr>
      </w:pPr>
      <w:r w:rsidRPr="00513659">
        <w:rPr>
          <w:rFonts w:ascii="Arial" w:hAnsi="Arial" w:cs="Arial"/>
          <w:b/>
          <w:bCs/>
        </w:rPr>
        <w:t>Ad 1)</w:t>
      </w:r>
    </w:p>
    <w:tbl>
      <w:tblPr>
        <w:tblW w:w="6096" w:type="dxa"/>
        <w:tblInd w:w="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276"/>
      </w:tblGrid>
      <w:tr w:rsidR="003E622D" w:rsidRPr="00D46C9B" w14:paraId="4B2C27DE" w14:textId="77777777" w:rsidTr="00DE0DD0">
        <w:trPr>
          <w:trHeight w:val="63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7DA09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Rok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7DB0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Podané žádosti podle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68A80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Celkem</w:t>
            </w:r>
          </w:p>
        </w:tc>
      </w:tr>
      <w:tr w:rsidR="003E622D" w:rsidRPr="00D46C9B" w14:paraId="6D4A6BA2" w14:textId="77777777" w:rsidTr="00DE0DD0">
        <w:trPr>
          <w:trHeight w:val="31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2418B" w14:textId="77777777" w:rsidR="003E622D" w:rsidRPr="00D46C9B" w:rsidRDefault="003E622D" w:rsidP="00DE0D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5FCB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§ 38nc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CB09B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§ 38nd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01D8D" w14:textId="77777777" w:rsidR="003E622D" w:rsidRPr="00D46C9B" w:rsidRDefault="003E622D" w:rsidP="00DE0D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3E622D" w:rsidRPr="00D46C9B" w14:paraId="64FAC451" w14:textId="77777777" w:rsidTr="00DE0DD0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015A5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3515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02DD0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A4D77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29</w:t>
            </w:r>
          </w:p>
        </w:tc>
      </w:tr>
      <w:tr w:rsidR="003E622D" w:rsidRPr="00D46C9B" w14:paraId="5D1DC5B1" w14:textId="77777777" w:rsidTr="00DE0DD0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A3B76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BDC9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8B065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40481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</w:tr>
      <w:tr w:rsidR="003E622D" w:rsidRPr="00D46C9B" w14:paraId="322BD2F4" w14:textId="77777777" w:rsidTr="00DE0DD0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608AA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5B24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057CE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570F9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44</w:t>
            </w:r>
          </w:p>
        </w:tc>
      </w:tr>
      <w:tr w:rsidR="003E622D" w:rsidRPr="00D46C9B" w14:paraId="78C74088" w14:textId="77777777" w:rsidTr="00DE0DD0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8B3F4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8543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12B37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3A895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23</w:t>
            </w:r>
          </w:p>
        </w:tc>
      </w:tr>
      <w:tr w:rsidR="003E622D" w:rsidRPr="00D46C9B" w14:paraId="039A359D" w14:textId="77777777" w:rsidTr="00DE0DD0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38A89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5741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E15E8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B2F15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24</w:t>
            </w:r>
          </w:p>
        </w:tc>
      </w:tr>
      <w:tr w:rsidR="003E622D" w:rsidRPr="00D46C9B" w14:paraId="0177C139" w14:textId="77777777" w:rsidTr="00DE0DD0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77A9C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A3D1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4470B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63AB9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30</w:t>
            </w:r>
          </w:p>
        </w:tc>
      </w:tr>
      <w:tr w:rsidR="003E622D" w:rsidRPr="00D46C9B" w14:paraId="1564F694" w14:textId="77777777" w:rsidTr="00DE0DD0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C5E7A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660F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5166E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A50A6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38</w:t>
            </w:r>
          </w:p>
        </w:tc>
      </w:tr>
      <w:tr w:rsidR="003E622D" w:rsidRPr="00D46C9B" w14:paraId="2F2540C7" w14:textId="77777777" w:rsidTr="00DE0DD0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4526C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DE17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6DE8F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51BB8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37</w:t>
            </w:r>
          </w:p>
        </w:tc>
      </w:tr>
      <w:tr w:rsidR="003E622D" w:rsidRPr="00D46C9B" w14:paraId="15C47FA8" w14:textId="77777777" w:rsidTr="00DE0DD0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2F174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BCD8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A6BCF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6A6AA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44</w:t>
            </w:r>
          </w:p>
        </w:tc>
      </w:tr>
      <w:tr w:rsidR="003E622D" w:rsidRPr="00D46C9B" w14:paraId="7D1B8707" w14:textId="77777777" w:rsidTr="00DE0DD0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216D7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0289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4FFBC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3B175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31</w:t>
            </w:r>
          </w:p>
        </w:tc>
      </w:tr>
      <w:tr w:rsidR="003E622D" w:rsidRPr="00D46C9B" w14:paraId="63A94DCE" w14:textId="77777777" w:rsidTr="00DE0DD0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81A38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A7CA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DB3C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64105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41</w:t>
            </w:r>
          </w:p>
        </w:tc>
      </w:tr>
      <w:tr w:rsidR="003E622D" w:rsidRPr="00D46C9B" w14:paraId="73528468" w14:textId="77777777" w:rsidTr="00DE0DD0">
        <w:trPr>
          <w:trHeight w:val="34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AD4BD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Celkem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4EFF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318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35BAF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46C9B">
              <w:rPr>
                <w:rFonts w:ascii="Arial" w:eastAsia="Times New Roman" w:hAnsi="Arial" w:cs="Arial"/>
                <w:lang w:eastAsia="cs-CZ"/>
              </w:rPr>
              <w:t>45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13A9D" w14:textId="77777777" w:rsidR="003E622D" w:rsidRPr="00D46C9B" w:rsidRDefault="003E622D" w:rsidP="00DE0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46C9B">
              <w:rPr>
                <w:rFonts w:ascii="Arial" w:eastAsia="Times New Roman" w:hAnsi="Arial" w:cs="Arial"/>
                <w:b/>
                <w:bCs/>
                <w:lang w:eastAsia="cs-CZ"/>
              </w:rPr>
              <w:t>363</w:t>
            </w:r>
          </w:p>
        </w:tc>
      </w:tr>
    </w:tbl>
    <w:p w14:paraId="3FAE6EDC" w14:textId="77777777" w:rsidR="003E622D" w:rsidRDefault="003E622D" w:rsidP="003E622D">
      <w:pPr>
        <w:jc w:val="both"/>
        <w:rPr>
          <w:rFonts w:ascii="Arial" w:hAnsi="Arial" w:cs="Arial"/>
        </w:rPr>
      </w:pPr>
    </w:p>
    <w:p w14:paraId="21DFC91D" w14:textId="77777777" w:rsidR="003E622D" w:rsidRPr="00513659" w:rsidRDefault="003E622D" w:rsidP="003E622D">
      <w:pPr>
        <w:jc w:val="both"/>
        <w:rPr>
          <w:rFonts w:ascii="Arial" w:hAnsi="Arial" w:cs="Arial"/>
          <w:b/>
          <w:bCs/>
        </w:rPr>
      </w:pPr>
      <w:r w:rsidRPr="00513659">
        <w:rPr>
          <w:rFonts w:ascii="Arial" w:hAnsi="Arial" w:cs="Arial"/>
          <w:b/>
          <w:bCs/>
        </w:rPr>
        <w:t xml:space="preserve">Ad 2) </w:t>
      </w:r>
    </w:p>
    <w:p w14:paraId="21331330" w14:textId="77777777" w:rsidR="003E622D" w:rsidRDefault="003E622D" w:rsidP="003E622D">
      <w:pPr>
        <w:jc w:val="both"/>
        <w:rPr>
          <w:rFonts w:ascii="Arial" w:hAnsi="Arial" w:cs="Arial"/>
        </w:rPr>
      </w:pPr>
      <w:r w:rsidRPr="00D46C9B">
        <w:rPr>
          <w:rFonts w:ascii="Arial" w:hAnsi="Arial" w:cs="Arial"/>
        </w:rPr>
        <w:t>Ve zdaňovacích obdobích 2013 až 2023 bylo vydáno 289 kladných rozhodnutí podle § 38nc a</w:t>
      </w:r>
      <w:r>
        <w:rPr>
          <w:rFonts w:ascii="Arial" w:hAnsi="Arial" w:cs="Arial"/>
        </w:rPr>
        <w:t> </w:t>
      </w:r>
      <w:r w:rsidRPr="00D46C9B">
        <w:rPr>
          <w:rFonts w:ascii="Arial" w:hAnsi="Arial" w:cs="Arial"/>
        </w:rPr>
        <w:t xml:space="preserve">§ 38nd ZDP. Závazné posouzení dává daňovým subjektům možnost předem si ověřit, je-li způsob tvorby cen, které jsou sjednávány mezi spojenými osobami, pro účely stanovení základu daně v souladu s principem tržního odstupu. Pokud je vystaveno kladné rozhodnutí, nepředpokládá se, že by v rámci daňové kontroly mělo docházet k úpravám základu daně z titulu převodních cen při splnění podmínek uvedených v rozhodnutích, nicméně nic nebrání správci daně, aby ověřil, že daňový subjekt postupuje v souladu s vydaným rozhodnutím. </w:t>
      </w:r>
    </w:p>
    <w:p w14:paraId="3F73CE03" w14:textId="77777777" w:rsidR="003E622D" w:rsidRPr="00D46C9B" w:rsidRDefault="003E622D" w:rsidP="003E622D">
      <w:pPr>
        <w:jc w:val="both"/>
        <w:rPr>
          <w:rFonts w:ascii="Arial" w:hAnsi="Arial" w:cs="Arial"/>
        </w:rPr>
      </w:pPr>
      <w:r w:rsidRPr="00D46C9B">
        <w:rPr>
          <w:rFonts w:ascii="Arial" w:hAnsi="Arial" w:cs="Arial"/>
        </w:rPr>
        <w:t>Statistik</w:t>
      </w:r>
      <w:r>
        <w:rPr>
          <w:rFonts w:ascii="Arial" w:hAnsi="Arial" w:cs="Arial"/>
        </w:rPr>
        <w:t>a</w:t>
      </w:r>
      <w:r w:rsidRPr="00D46C9B">
        <w:rPr>
          <w:rFonts w:ascii="Arial" w:hAnsi="Arial" w:cs="Arial"/>
        </w:rPr>
        <w:t xml:space="preserve"> o vedení sporů ve věci stanovení převodních cen po vydání kladných rozhodnutích </w:t>
      </w:r>
      <w:r>
        <w:rPr>
          <w:rFonts w:ascii="Arial" w:hAnsi="Arial" w:cs="Arial"/>
        </w:rPr>
        <w:t>není vedena</w:t>
      </w:r>
      <w:r w:rsidRPr="00D46C9B">
        <w:rPr>
          <w:rFonts w:ascii="Arial" w:hAnsi="Arial" w:cs="Arial"/>
        </w:rPr>
        <w:t>. Zjištění těchto informací při uvedeném počtu vydaných kladných rozhodnutí by obnášelo cca 1800 hodin práce</w:t>
      </w:r>
      <w:r>
        <w:rPr>
          <w:rFonts w:ascii="Arial" w:hAnsi="Arial" w:cs="Arial"/>
        </w:rPr>
        <w:t xml:space="preserve"> (v dané věci je třeba vyžádat spisový materiál od místně příslušných správců daně, z něho získat příslušné dokumenty a požadované údaje, které bude nutno dále zpracovat; předpokládáme, že zpracování 1 údaje bude trvat 5 hodin).</w:t>
      </w:r>
    </w:p>
    <w:p w14:paraId="58B31E0F" w14:textId="77777777" w:rsidR="003E622D" w:rsidRPr="00513659" w:rsidRDefault="003E622D" w:rsidP="003E622D">
      <w:pPr>
        <w:jc w:val="both"/>
        <w:rPr>
          <w:rFonts w:ascii="Arial" w:hAnsi="Arial" w:cs="Arial"/>
          <w:b/>
          <w:bCs/>
        </w:rPr>
      </w:pPr>
      <w:r w:rsidRPr="00513659">
        <w:rPr>
          <w:rFonts w:ascii="Arial" w:hAnsi="Arial" w:cs="Arial"/>
          <w:b/>
          <w:bCs/>
        </w:rPr>
        <w:t>Ad 3)</w:t>
      </w:r>
    </w:p>
    <w:p w14:paraId="6A94FE89" w14:textId="77777777" w:rsidR="003E622D" w:rsidRPr="00D46C9B" w:rsidRDefault="003E622D" w:rsidP="003E622D">
      <w:pPr>
        <w:jc w:val="both"/>
        <w:rPr>
          <w:rFonts w:ascii="Arial" w:hAnsi="Arial" w:cs="Arial"/>
        </w:rPr>
      </w:pPr>
      <w:r w:rsidRPr="00D46C9B">
        <w:rPr>
          <w:rFonts w:ascii="Arial" w:hAnsi="Arial" w:cs="Arial"/>
        </w:rPr>
        <w:t xml:space="preserve">Informace </w:t>
      </w:r>
      <w:r>
        <w:rPr>
          <w:rFonts w:ascii="Arial" w:hAnsi="Arial" w:cs="Arial"/>
        </w:rPr>
        <w:t xml:space="preserve">o </w:t>
      </w:r>
      <w:r w:rsidRPr="00D46C9B">
        <w:rPr>
          <w:rFonts w:ascii="Arial" w:hAnsi="Arial" w:cs="Arial"/>
        </w:rPr>
        <w:t>přijatých žádost</w:t>
      </w:r>
      <w:r>
        <w:rPr>
          <w:rFonts w:ascii="Arial" w:hAnsi="Arial" w:cs="Arial"/>
        </w:rPr>
        <w:t>ech</w:t>
      </w:r>
      <w:r w:rsidRPr="00D46C9B">
        <w:rPr>
          <w:rFonts w:ascii="Arial" w:hAnsi="Arial" w:cs="Arial"/>
        </w:rPr>
        <w:t xml:space="preserve"> podle § 38nc a § 38nd ZDP za rok 2024 bude k dispozici na konci března 2025.</w:t>
      </w:r>
    </w:p>
    <w:p w14:paraId="70F5CCD8" w14:textId="77777777" w:rsidR="003E622D" w:rsidRPr="00513659" w:rsidRDefault="003E622D" w:rsidP="003E622D">
      <w:pPr>
        <w:rPr>
          <w:rFonts w:ascii="Arial" w:hAnsi="Arial" w:cs="Arial"/>
          <w:b/>
          <w:bCs/>
        </w:rPr>
      </w:pPr>
      <w:r w:rsidRPr="00513659">
        <w:rPr>
          <w:rFonts w:ascii="Arial" w:hAnsi="Arial" w:cs="Arial"/>
          <w:b/>
          <w:bCs/>
        </w:rPr>
        <w:t>Ad 4)</w:t>
      </w:r>
    </w:p>
    <w:p w14:paraId="20C07D12" w14:textId="77777777" w:rsidR="003E622D" w:rsidRDefault="003E622D" w:rsidP="003E622D">
      <w:pPr>
        <w:jc w:val="both"/>
        <w:rPr>
          <w:rFonts w:ascii="Arial" w:hAnsi="Arial" w:cs="Arial"/>
        </w:rPr>
      </w:pPr>
      <w:r w:rsidRPr="008A6C93">
        <w:rPr>
          <w:rFonts w:ascii="Arial" w:hAnsi="Arial" w:cs="Arial"/>
        </w:rPr>
        <w:t xml:space="preserve">Obecně lze </w:t>
      </w:r>
      <w:r>
        <w:rPr>
          <w:rFonts w:ascii="Arial" w:hAnsi="Arial" w:cs="Arial"/>
        </w:rPr>
        <w:t>sdělit</w:t>
      </w:r>
      <w:r w:rsidRPr="008A6C93">
        <w:rPr>
          <w:rFonts w:ascii="Arial" w:hAnsi="Arial" w:cs="Arial"/>
        </w:rPr>
        <w:t>, že v letech 2013 až 2023 je ve vydaných rozhodnutích podle § 38nc a</w:t>
      </w:r>
      <w:r>
        <w:rPr>
          <w:rFonts w:ascii="Arial" w:hAnsi="Arial" w:cs="Arial"/>
        </w:rPr>
        <w:t> </w:t>
      </w:r>
      <w:r w:rsidRPr="008A6C93">
        <w:rPr>
          <w:rFonts w:ascii="Arial" w:hAnsi="Arial" w:cs="Arial"/>
        </w:rPr>
        <w:t xml:space="preserve">§ 38nd ZDP nejčastěji využívanou metodou TNMM následovaná metodou </w:t>
      </w:r>
      <w:proofErr w:type="spellStart"/>
      <w:r w:rsidRPr="008A6C93">
        <w:rPr>
          <w:rFonts w:ascii="Arial" w:hAnsi="Arial" w:cs="Arial"/>
        </w:rPr>
        <w:t>Cost</w:t>
      </w:r>
      <w:proofErr w:type="spellEnd"/>
      <w:r w:rsidRPr="008A6C93">
        <w:rPr>
          <w:rFonts w:ascii="Arial" w:hAnsi="Arial" w:cs="Arial"/>
        </w:rPr>
        <w:t xml:space="preserve"> plus. Naproti tomu metoda PSM se vyskytuje zřídka. </w:t>
      </w:r>
    </w:p>
    <w:p w14:paraId="138AE619" w14:textId="77777777" w:rsidR="003E622D" w:rsidRPr="008A6C93" w:rsidRDefault="003E622D" w:rsidP="003E622D">
      <w:pPr>
        <w:jc w:val="both"/>
        <w:rPr>
          <w:rFonts w:ascii="Arial" w:hAnsi="Arial" w:cs="Arial"/>
        </w:rPr>
      </w:pPr>
      <w:r w:rsidRPr="008A6C93">
        <w:rPr>
          <w:rFonts w:ascii="Arial" w:hAnsi="Arial" w:cs="Arial"/>
        </w:rPr>
        <w:lastRenderedPageBreak/>
        <w:t xml:space="preserve">Pokud </w:t>
      </w:r>
      <w:r>
        <w:rPr>
          <w:rFonts w:ascii="Arial" w:hAnsi="Arial" w:cs="Arial"/>
        </w:rPr>
        <w:t>by byla požadována</w:t>
      </w:r>
      <w:r w:rsidRPr="008A6C93">
        <w:rPr>
          <w:rFonts w:ascii="Arial" w:hAnsi="Arial" w:cs="Arial"/>
        </w:rPr>
        <w:t xml:space="preserve"> kategorizac</w:t>
      </w:r>
      <w:r>
        <w:rPr>
          <w:rFonts w:ascii="Arial" w:hAnsi="Arial" w:cs="Arial"/>
        </w:rPr>
        <w:t>e</w:t>
      </w:r>
      <w:r w:rsidRPr="008A6C93">
        <w:rPr>
          <w:rFonts w:ascii="Arial" w:hAnsi="Arial" w:cs="Arial"/>
        </w:rPr>
        <w:t xml:space="preserve"> detailů uváděných metod převodních cen v jednotlivých letech, bylo by nutné tento úkon zpoplatnit. Zjištění těchto informací by obnášelo cca 360 hodin práce</w:t>
      </w:r>
      <w:r>
        <w:rPr>
          <w:rFonts w:ascii="Arial" w:hAnsi="Arial" w:cs="Arial"/>
        </w:rPr>
        <w:t xml:space="preserve"> (informace by bylo nutno získat opět ze spisů, přičemž práce by odpovídala cca 1 hodině/1 případ)</w:t>
      </w:r>
      <w:r w:rsidRPr="008A6C93">
        <w:rPr>
          <w:rFonts w:ascii="Arial" w:hAnsi="Arial" w:cs="Arial"/>
        </w:rPr>
        <w:t>.</w:t>
      </w:r>
    </w:p>
    <w:p w14:paraId="52A9F64B" w14:textId="77777777" w:rsidR="003E622D" w:rsidRPr="00513659" w:rsidRDefault="003E622D" w:rsidP="003E622D">
      <w:pPr>
        <w:rPr>
          <w:rFonts w:ascii="Arial" w:hAnsi="Arial" w:cs="Arial"/>
          <w:b/>
          <w:bCs/>
        </w:rPr>
      </w:pPr>
      <w:r w:rsidRPr="00513659">
        <w:rPr>
          <w:rFonts w:ascii="Arial" w:hAnsi="Arial" w:cs="Arial"/>
          <w:b/>
          <w:bCs/>
        </w:rPr>
        <w:t>Ad 5)</w:t>
      </w:r>
    </w:p>
    <w:p w14:paraId="5D5A7156" w14:textId="77777777" w:rsidR="003E622D" w:rsidRPr="008A6C93" w:rsidRDefault="003E622D" w:rsidP="003E622D">
      <w:pPr>
        <w:jc w:val="both"/>
        <w:rPr>
          <w:rFonts w:ascii="Arial" w:hAnsi="Arial" w:cs="Arial"/>
        </w:rPr>
      </w:pPr>
      <w:r w:rsidRPr="008A6C93">
        <w:rPr>
          <w:rFonts w:ascii="Arial" w:hAnsi="Arial" w:cs="Arial"/>
        </w:rPr>
        <w:t>Statistik</w:t>
      </w:r>
      <w:r>
        <w:rPr>
          <w:rFonts w:ascii="Arial" w:hAnsi="Arial" w:cs="Arial"/>
        </w:rPr>
        <w:t>a</w:t>
      </w:r>
      <w:r w:rsidRPr="008A6C93">
        <w:rPr>
          <w:rFonts w:ascii="Arial" w:hAnsi="Arial" w:cs="Arial"/>
        </w:rPr>
        <w:t xml:space="preserve"> o délce trvání procesu od podání žádosti daňovým subjektem až do vydání rozhodnutí o závazném posouzení správcem daně s ohledem na zvolenou metodu stanovení převodních cen </w:t>
      </w:r>
      <w:r>
        <w:rPr>
          <w:rFonts w:ascii="Arial" w:hAnsi="Arial" w:cs="Arial"/>
        </w:rPr>
        <w:t xml:space="preserve">není vedena. Zjištění požadované informace </w:t>
      </w:r>
      <w:r w:rsidRPr="008A6C93"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bylo</w:t>
      </w:r>
      <w:r w:rsidRPr="008A6C93">
        <w:rPr>
          <w:rFonts w:ascii="Arial" w:hAnsi="Arial" w:cs="Arial"/>
        </w:rPr>
        <w:t xml:space="preserve"> nutné zpoplatnit</w:t>
      </w:r>
      <w:r>
        <w:rPr>
          <w:rFonts w:ascii="Arial" w:hAnsi="Arial" w:cs="Arial"/>
        </w:rPr>
        <w:t xml:space="preserve"> (obdobně jako v předchozím bodě)</w:t>
      </w:r>
      <w:r w:rsidRPr="008A6C93">
        <w:rPr>
          <w:rFonts w:ascii="Arial" w:hAnsi="Arial" w:cs="Arial"/>
        </w:rPr>
        <w:t>.</w:t>
      </w:r>
    </w:p>
    <w:p w14:paraId="71BAE521" w14:textId="77777777" w:rsidR="003E622D" w:rsidRPr="00513659" w:rsidRDefault="003E622D" w:rsidP="003E622D">
      <w:pPr>
        <w:rPr>
          <w:rFonts w:ascii="Arial" w:hAnsi="Arial" w:cs="Arial"/>
          <w:b/>
          <w:bCs/>
        </w:rPr>
      </w:pPr>
      <w:r w:rsidRPr="00513659">
        <w:rPr>
          <w:rFonts w:ascii="Arial" w:hAnsi="Arial" w:cs="Arial"/>
          <w:b/>
          <w:bCs/>
        </w:rPr>
        <w:t>Ad 6)</w:t>
      </w:r>
    </w:p>
    <w:p w14:paraId="29F50A9E" w14:textId="77777777" w:rsidR="003E622D" w:rsidRDefault="003E622D" w:rsidP="003E622D">
      <w:pPr>
        <w:jc w:val="both"/>
        <w:rPr>
          <w:rFonts w:ascii="Arial" w:hAnsi="Arial" w:cs="Arial"/>
          <w:color w:val="000000"/>
          <w14:ligatures w14:val="standardContextual"/>
        </w:rPr>
      </w:pPr>
      <w:r w:rsidRPr="008A6C93">
        <w:rPr>
          <w:rFonts w:ascii="Arial" w:hAnsi="Arial" w:cs="Arial"/>
        </w:rPr>
        <w:t>Finanční správa ČR podporuje sjednávání závazných posouzení, neboť jsou prostředkem k předcházení sporům mezi daňovou správou a daňovými subjekty v oblasti uplatňování převodních cen. Na žádost daňového subjektu správce daně rozhodne, zda tento poplatník zvolil takový způsob tvorby cen mezi spojenými osobami, který je v souladu s principem tržních cen. Jde vlastně o „dopředné“ ujednání mezi daňovým subjektem a daňovou správou o převodních cenách poplatníka vůči jeho spojené osobě a jejich podmínkách. Podmínky související s předběžnými cenovými dohodami jsou upraveny v § 38nc a § 38nd ZDP a</w:t>
      </w:r>
      <w:r>
        <w:rPr>
          <w:rFonts w:ascii="Arial" w:hAnsi="Arial" w:cs="Arial"/>
        </w:rPr>
        <w:t> </w:t>
      </w:r>
      <w:r w:rsidRPr="008A6C93">
        <w:rPr>
          <w:rFonts w:ascii="Arial" w:hAnsi="Arial" w:cs="Arial"/>
        </w:rPr>
        <w:t xml:space="preserve">praktické informace jsou popsány v Pokynu GFŘ D-32 (Sdělení Generálního finančního ředitelství k závaznému posouzení způsobu, jakým byla vytvořena cena sjednávaná mezi spojenými podniky a ke způsobu určení základu daně daňového nerezidenta z činností vykonávaných prostřednictvím stálé provozovny, č. j. 58337/18/7100-40113-800219), který je dostupný </w:t>
      </w:r>
      <w:r>
        <w:rPr>
          <w:rFonts w:ascii="Arial" w:hAnsi="Arial" w:cs="Arial"/>
        </w:rPr>
        <w:t>zde:</w:t>
      </w:r>
      <w:r w:rsidRPr="008A6C93">
        <w:rPr>
          <w:rFonts w:ascii="Arial" w:hAnsi="Arial" w:cs="Arial"/>
        </w:rPr>
        <w:t xml:space="preserve"> </w:t>
      </w:r>
      <w:hyperlink r:id="rId5" w:history="1">
        <w:r w:rsidRPr="002A58E5">
          <w:rPr>
            <w:rStyle w:val="Hypertextovodkaz"/>
            <w:rFonts w:ascii="Arial" w:hAnsi="Arial" w:cs="Arial"/>
          </w:rPr>
          <w:t>https://financnisprava.gov.cz/cs/dane/legislativa-a-metodika/pokyny-d/casove-cleneni/2018/pokyn-gfr-d-32</w:t>
        </w:r>
      </w:hyperlink>
      <w:r w:rsidRPr="002A58E5">
        <w:rPr>
          <w:rFonts w:ascii="Arial" w:hAnsi="Arial" w:cs="Arial"/>
          <w:color w:val="000000"/>
          <w14:ligatures w14:val="standardContextual"/>
        </w:rPr>
        <w:t>.</w:t>
      </w:r>
    </w:p>
    <w:p w14:paraId="2F8BE718" w14:textId="77777777" w:rsidR="001E1838" w:rsidRDefault="001E1838"/>
    <w:sectPr w:rsidR="001E1838" w:rsidSect="003E6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3CC2"/>
    <w:multiLevelType w:val="hybridMultilevel"/>
    <w:tmpl w:val="8DBE1D1C"/>
    <w:lvl w:ilvl="0" w:tplc="13AC31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97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2D"/>
    <w:rsid w:val="001E1838"/>
    <w:rsid w:val="003E622D"/>
    <w:rsid w:val="008A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AE62"/>
  <w15:chartTrackingRefBased/>
  <w15:docId w15:val="{0B2E3658-77D3-44F5-9B57-6623C8D2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622D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2D"/>
    <w:pPr>
      <w:spacing w:line="278" w:lineRule="auto"/>
      <w:ind w:left="720"/>
      <w:contextualSpacing/>
    </w:pPr>
    <w:rPr>
      <w:kern w:val="2"/>
      <w:sz w:val="24"/>
      <w:szCs w:val="24"/>
      <w:lang w:val="en-GB"/>
      <w14:ligatures w14:val="standardContextual"/>
    </w:rPr>
  </w:style>
  <w:style w:type="character" w:styleId="Hypertextovodkaz">
    <w:name w:val="Hyperlink"/>
    <w:uiPriority w:val="99"/>
    <w:unhideWhenUsed/>
    <w:rsid w:val="003E62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nancnisprava.gov.cz/cs/dane/legislativa-a-metodika/pokyny-d/casove-cleneni/2018/pokyn-gfr-d-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895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2024-11-22T08:38:00Z</dcterms:created>
  <dcterms:modified xsi:type="dcterms:W3CDTF">2024-11-22T08:47:00Z</dcterms:modified>
</cp:coreProperties>
</file>