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93BF" w14:textId="77777777" w:rsidR="009B63B6" w:rsidRPr="0016147C" w:rsidRDefault="009B63B6" w:rsidP="009B63B6">
      <w:pPr>
        <w:spacing w:after="100" w:afterAutospacing="1"/>
        <w:jc w:val="both"/>
        <w:rPr>
          <w:rFonts w:ascii="Arial" w:hAnsi="Arial" w:cs="Arial"/>
          <w:b/>
          <w:u w:val="single"/>
        </w:rPr>
      </w:pPr>
      <w:bookmarkStart w:id="0" w:name="_Hlk120773718"/>
      <w:bookmarkEnd w:id="0"/>
      <w:r w:rsidRPr="0016147C">
        <w:rPr>
          <w:rFonts w:ascii="Arial" w:hAnsi="Arial" w:cs="Arial"/>
          <w:b/>
          <w:u w:val="single"/>
        </w:rPr>
        <w:t>Poskytnutá informace GFŘ podle zákona o svobodném přístupu k informacím 3</w:t>
      </w:r>
      <w:r>
        <w:rPr>
          <w:rFonts w:ascii="Arial" w:hAnsi="Arial" w:cs="Arial"/>
          <w:b/>
          <w:u w:val="single"/>
        </w:rPr>
        <w:t>9</w:t>
      </w:r>
      <w:r w:rsidRPr="0016147C">
        <w:rPr>
          <w:rFonts w:ascii="Arial" w:hAnsi="Arial" w:cs="Arial"/>
          <w:b/>
          <w:u w:val="single"/>
        </w:rPr>
        <w:t>/2023</w:t>
      </w:r>
    </w:p>
    <w:p w14:paraId="09C8BD63" w14:textId="77777777" w:rsidR="009B63B6" w:rsidRPr="0016147C" w:rsidRDefault="009B63B6" w:rsidP="009B63B6">
      <w:pPr>
        <w:spacing w:after="240"/>
        <w:jc w:val="both"/>
        <w:rPr>
          <w:rFonts w:ascii="Arial" w:hAnsi="Arial" w:cs="Arial"/>
          <w:b/>
          <w:u w:val="single"/>
        </w:rPr>
      </w:pPr>
      <w:r w:rsidRPr="0016147C">
        <w:rPr>
          <w:rFonts w:ascii="Arial" w:hAnsi="Arial" w:cs="Arial"/>
          <w:b/>
          <w:u w:val="single"/>
        </w:rPr>
        <w:t xml:space="preserve">Dotaz: </w:t>
      </w:r>
    </w:p>
    <w:p w14:paraId="4A87C8FE" w14:textId="56368ED1" w:rsidR="009B63B6" w:rsidRDefault="009B63B6" w:rsidP="009B63B6">
      <w:pPr>
        <w:autoSpaceDE w:val="0"/>
        <w:autoSpaceDN w:val="0"/>
        <w:adjustRightInd w:val="0"/>
        <w:spacing w:after="240"/>
        <w:rPr>
          <w:rFonts w:ascii="Arial" w:hAnsi="Arial" w:cs="Arial"/>
        </w:rPr>
      </w:pPr>
      <w:bookmarkStart w:id="1" w:name="_Hlk127344340"/>
      <w:r w:rsidRPr="00F23406">
        <w:rPr>
          <w:rFonts w:ascii="Arial" w:hAnsi="Arial" w:cs="Arial"/>
        </w:rPr>
        <w:t>Žádám</w:t>
      </w:r>
      <w:r>
        <w:rPr>
          <w:rFonts w:ascii="Arial" w:hAnsi="Arial" w:cs="Arial"/>
        </w:rPr>
        <w:t xml:space="preserve"> následující informace: </w:t>
      </w:r>
    </w:p>
    <w:p w14:paraId="2DB72266" w14:textId="440329CF" w:rsidR="009B63B6" w:rsidRPr="009B63B6" w:rsidRDefault="009B63B6" w:rsidP="009B63B6">
      <w:pPr>
        <w:autoSpaceDE w:val="0"/>
        <w:autoSpaceDN w:val="0"/>
        <w:adjustRightInd w:val="0"/>
        <w:spacing w:after="240" w:line="276" w:lineRule="auto"/>
        <w:jc w:val="both"/>
        <w:rPr>
          <w:rFonts w:ascii="Arial" w:eastAsia="Roboto-Regular" w:hAnsi="Arial" w:cs="Arial"/>
          <w:lang w:eastAsia="en-US"/>
        </w:rPr>
      </w:pPr>
      <w:r w:rsidRPr="009B63B6">
        <w:rPr>
          <w:rFonts w:ascii="Arial" w:eastAsia="Roboto-Regular" w:hAnsi="Arial" w:cs="Arial"/>
          <w:lang w:eastAsia="en-US"/>
        </w:rPr>
        <w:t>1) Jaký je v současné době počet OSVČ s příjmem do 150 000 Kč za rok?</w:t>
      </w:r>
    </w:p>
    <w:p w14:paraId="191EC946" w14:textId="77777777" w:rsidR="009B63B6" w:rsidRDefault="009B63B6" w:rsidP="009B63B6">
      <w:pPr>
        <w:autoSpaceDE w:val="0"/>
        <w:autoSpaceDN w:val="0"/>
        <w:adjustRightInd w:val="0"/>
        <w:spacing w:after="240" w:line="276" w:lineRule="auto"/>
        <w:jc w:val="both"/>
        <w:rPr>
          <w:rFonts w:ascii="Arial" w:eastAsia="Roboto-Regular" w:hAnsi="Arial" w:cs="Arial"/>
          <w:lang w:eastAsia="en-US"/>
        </w:rPr>
      </w:pPr>
      <w:r w:rsidRPr="009B63B6">
        <w:rPr>
          <w:rFonts w:ascii="Arial" w:eastAsia="Roboto-Regular" w:hAnsi="Arial" w:cs="Arial"/>
          <w:lang w:eastAsia="en-US"/>
        </w:rPr>
        <w:t>2) Jaký je v současné době počet OSVČ s příjmem v rozmezí 150 001 – 500 000Kč za rok?</w:t>
      </w:r>
    </w:p>
    <w:p w14:paraId="162F47B2" w14:textId="4FCA25F3" w:rsidR="009B63B6" w:rsidRPr="009B63B6" w:rsidRDefault="009B63B6" w:rsidP="009B63B6">
      <w:pPr>
        <w:autoSpaceDE w:val="0"/>
        <w:autoSpaceDN w:val="0"/>
        <w:adjustRightInd w:val="0"/>
        <w:spacing w:after="240" w:line="276" w:lineRule="auto"/>
        <w:jc w:val="both"/>
        <w:rPr>
          <w:rFonts w:ascii="Arial" w:eastAsia="Roboto-Regular" w:hAnsi="Arial" w:cs="Arial"/>
          <w:lang w:eastAsia="en-US"/>
        </w:rPr>
      </w:pPr>
      <w:r w:rsidRPr="009B63B6">
        <w:rPr>
          <w:rFonts w:ascii="Arial" w:eastAsia="Roboto-Regular" w:hAnsi="Arial" w:cs="Arial"/>
          <w:lang w:eastAsia="en-US"/>
        </w:rPr>
        <w:t>3) Jaký je v současné době počet OSVČ s příjmem v rozmezí 500 001 – 1 000 000 Kč za rok?</w:t>
      </w:r>
    </w:p>
    <w:p w14:paraId="2EDE42AB" w14:textId="77777777" w:rsidR="009B63B6" w:rsidRPr="009B63B6" w:rsidRDefault="009B63B6" w:rsidP="009B63B6">
      <w:pPr>
        <w:autoSpaceDE w:val="0"/>
        <w:autoSpaceDN w:val="0"/>
        <w:adjustRightInd w:val="0"/>
        <w:spacing w:after="240" w:line="276" w:lineRule="auto"/>
        <w:jc w:val="both"/>
        <w:rPr>
          <w:rFonts w:ascii="Arial" w:eastAsia="Roboto-Regular" w:hAnsi="Arial" w:cs="Arial"/>
          <w:lang w:eastAsia="en-US"/>
        </w:rPr>
      </w:pPr>
      <w:r w:rsidRPr="009B63B6">
        <w:rPr>
          <w:rFonts w:ascii="Arial" w:eastAsia="Roboto-Regular" w:hAnsi="Arial" w:cs="Arial"/>
          <w:lang w:eastAsia="en-US"/>
        </w:rPr>
        <w:t>4) Jaký je v současné době počet OSVČ s příjmem v rozmezí 1 000 000 Kč a více za rok?</w:t>
      </w:r>
    </w:p>
    <w:p w14:paraId="1FB06D25" w14:textId="77777777" w:rsidR="009B63B6" w:rsidRPr="009B63B6" w:rsidRDefault="009B63B6" w:rsidP="009B63B6">
      <w:pPr>
        <w:autoSpaceDE w:val="0"/>
        <w:autoSpaceDN w:val="0"/>
        <w:adjustRightInd w:val="0"/>
        <w:spacing w:after="240" w:line="276" w:lineRule="auto"/>
        <w:jc w:val="both"/>
        <w:rPr>
          <w:rFonts w:ascii="Arial" w:eastAsia="Roboto-Regular" w:hAnsi="Arial" w:cs="Arial"/>
          <w:lang w:eastAsia="en-US"/>
        </w:rPr>
      </w:pPr>
      <w:r w:rsidRPr="009B63B6">
        <w:rPr>
          <w:rFonts w:ascii="Arial" w:eastAsia="Roboto-Regular" w:hAnsi="Arial" w:cs="Arial"/>
          <w:lang w:eastAsia="en-US"/>
        </w:rPr>
        <w:t>5) Kolik OSVČ v současné době využívá daňový paušál v prvním pásmu?</w:t>
      </w:r>
    </w:p>
    <w:p w14:paraId="4E57E1CF" w14:textId="77777777" w:rsidR="009B63B6" w:rsidRPr="009B63B6" w:rsidRDefault="009B63B6" w:rsidP="009B63B6">
      <w:pPr>
        <w:autoSpaceDE w:val="0"/>
        <w:autoSpaceDN w:val="0"/>
        <w:adjustRightInd w:val="0"/>
        <w:spacing w:after="240" w:line="276" w:lineRule="auto"/>
        <w:jc w:val="both"/>
        <w:rPr>
          <w:rFonts w:ascii="Arial" w:eastAsia="Roboto-Regular" w:hAnsi="Arial" w:cs="Arial"/>
          <w:lang w:eastAsia="en-US"/>
        </w:rPr>
      </w:pPr>
      <w:r w:rsidRPr="009B63B6">
        <w:rPr>
          <w:rFonts w:ascii="Arial" w:eastAsia="Roboto-Regular" w:hAnsi="Arial" w:cs="Arial"/>
          <w:lang w:eastAsia="en-US"/>
        </w:rPr>
        <w:t>6) Kolik OSVČ v současné době využívá daňový paušál ve druhém pásmu?</w:t>
      </w:r>
    </w:p>
    <w:p w14:paraId="717720C1" w14:textId="1C7E92F9" w:rsidR="009B63B6" w:rsidRPr="009B63B6" w:rsidRDefault="009B63B6" w:rsidP="009B63B6">
      <w:pPr>
        <w:pStyle w:val="Default"/>
        <w:spacing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B63B6">
        <w:rPr>
          <w:rFonts w:ascii="Arial" w:eastAsia="Roboto-Regular" w:hAnsi="Arial" w:cs="Arial"/>
          <w:sz w:val="22"/>
          <w:szCs w:val="22"/>
          <w:lang w:eastAsia="en-US"/>
        </w:rPr>
        <w:t>7) Kolik OSVČ v současné době využívá daňový paušál ve třetím pásmu?</w:t>
      </w:r>
    </w:p>
    <w:p w14:paraId="02307AA3" w14:textId="77777777" w:rsidR="009B63B6" w:rsidRPr="0056012D" w:rsidRDefault="009B63B6" w:rsidP="009B63B6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6012D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  <w:bookmarkEnd w:id="1"/>
    </w:p>
    <w:p w14:paraId="18DD6FB2" w14:textId="77777777" w:rsidR="009B63B6" w:rsidRPr="0016147C" w:rsidRDefault="009B63B6" w:rsidP="009B63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6A782CF" w14:textId="77777777" w:rsidR="009B63B6" w:rsidRPr="007D3A46" w:rsidRDefault="009B63B6" w:rsidP="009B63B6">
      <w:pPr>
        <w:spacing w:after="240"/>
        <w:jc w:val="both"/>
        <w:rPr>
          <w:rFonts w:ascii="Arial" w:hAnsi="Arial" w:cs="Arial"/>
        </w:rPr>
      </w:pPr>
      <w:r w:rsidRPr="007D3A46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K</w:t>
      </w:r>
      <w:r w:rsidRPr="007D3A46">
        <w:rPr>
          <w:rFonts w:ascii="Arial" w:hAnsi="Arial" w:cs="Arial"/>
        </w:rPr>
        <w:t> 31. 3. 2023</w:t>
      </w:r>
      <w:r>
        <w:rPr>
          <w:rFonts w:ascii="Arial" w:hAnsi="Arial" w:cs="Arial"/>
        </w:rPr>
        <w:t xml:space="preserve"> byl </w:t>
      </w:r>
      <w:r w:rsidRPr="007D3A46">
        <w:rPr>
          <w:rFonts w:ascii="Arial" w:hAnsi="Arial" w:cs="Arial"/>
        </w:rPr>
        <w:t xml:space="preserve">počet OSVČ s příjmem do 150 000 Kč </w:t>
      </w:r>
      <w:r>
        <w:rPr>
          <w:rFonts w:ascii="Arial" w:hAnsi="Arial" w:cs="Arial"/>
        </w:rPr>
        <w:t xml:space="preserve">celkem </w:t>
      </w:r>
      <w:r w:rsidRPr="007D3A46">
        <w:rPr>
          <w:rFonts w:ascii="Arial" w:hAnsi="Arial" w:cs="Arial"/>
        </w:rPr>
        <w:t>298 886</w:t>
      </w:r>
      <w:r>
        <w:rPr>
          <w:rFonts w:ascii="Arial" w:hAnsi="Arial" w:cs="Arial"/>
        </w:rPr>
        <w:t xml:space="preserve">. </w:t>
      </w:r>
    </w:p>
    <w:p w14:paraId="53521D9C" w14:textId="77777777" w:rsidR="009B63B6" w:rsidRPr="007D3A46" w:rsidRDefault="009B63B6" w:rsidP="009B63B6">
      <w:pPr>
        <w:spacing w:after="240"/>
        <w:jc w:val="both"/>
        <w:rPr>
          <w:rFonts w:ascii="Arial" w:hAnsi="Arial" w:cs="Arial"/>
        </w:rPr>
      </w:pPr>
      <w:r w:rsidRPr="007D3A46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K</w:t>
      </w:r>
      <w:r w:rsidRPr="007D3A46">
        <w:rPr>
          <w:rFonts w:ascii="Arial" w:hAnsi="Arial" w:cs="Arial"/>
        </w:rPr>
        <w:t> 31. 3. 2023</w:t>
      </w:r>
      <w:r>
        <w:rPr>
          <w:rFonts w:ascii="Arial" w:hAnsi="Arial" w:cs="Arial"/>
        </w:rPr>
        <w:t xml:space="preserve"> byl </w:t>
      </w:r>
      <w:r w:rsidRPr="007D3A46">
        <w:rPr>
          <w:rFonts w:ascii="Arial" w:hAnsi="Arial" w:cs="Arial"/>
        </w:rPr>
        <w:t xml:space="preserve">počet OSVČ s příjmem v rozmezí 150 001 – 500 000Kč </w:t>
      </w:r>
      <w:r>
        <w:rPr>
          <w:rFonts w:ascii="Arial" w:hAnsi="Arial" w:cs="Arial"/>
        </w:rPr>
        <w:t>celkem</w:t>
      </w:r>
      <w:r w:rsidRPr="007D3A46">
        <w:rPr>
          <w:rFonts w:ascii="Arial" w:hAnsi="Arial" w:cs="Arial"/>
        </w:rPr>
        <w:t xml:space="preserve"> 309 902</w:t>
      </w:r>
      <w:r>
        <w:rPr>
          <w:rFonts w:ascii="Arial" w:hAnsi="Arial" w:cs="Arial"/>
        </w:rPr>
        <w:t>.</w:t>
      </w:r>
    </w:p>
    <w:p w14:paraId="1046BE6B" w14:textId="77777777" w:rsidR="009B63B6" w:rsidRPr="007D3A46" w:rsidRDefault="009B63B6" w:rsidP="009B63B6">
      <w:pPr>
        <w:spacing w:after="240"/>
        <w:jc w:val="both"/>
        <w:rPr>
          <w:rFonts w:ascii="Arial" w:hAnsi="Arial" w:cs="Arial"/>
        </w:rPr>
      </w:pPr>
      <w:r w:rsidRPr="007D3A46">
        <w:rPr>
          <w:rFonts w:ascii="Arial" w:hAnsi="Arial" w:cs="Arial"/>
        </w:rPr>
        <w:t xml:space="preserve">3) </w:t>
      </w:r>
      <w:r>
        <w:rPr>
          <w:rFonts w:ascii="Arial" w:hAnsi="Arial" w:cs="Arial"/>
        </w:rPr>
        <w:t>K</w:t>
      </w:r>
      <w:r w:rsidRPr="007D3A46">
        <w:rPr>
          <w:rFonts w:ascii="Arial" w:hAnsi="Arial" w:cs="Arial"/>
        </w:rPr>
        <w:t> 31. 3. 2023</w:t>
      </w:r>
      <w:r>
        <w:rPr>
          <w:rFonts w:ascii="Arial" w:hAnsi="Arial" w:cs="Arial"/>
        </w:rPr>
        <w:t xml:space="preserve"> byl </w:t>
      </w:r>
      <w:r w:rsidRPr="007D3A46">
        <w:rPr>
          <w:rFonts w:ascii="Arial" w:hAnsi="Arial" w:cs="Arial"/>
        </w:rPr>
        <w:t xml:space="preserve">počet OSVČ s příjmem v rozmezí 500 001 – 1 000 000 Kč </w:t>
      </w:r>
      <w:r>
        <w:rPr>
          <w:rFonts w:ascii="Arial" w:hAnsi="Arial" w:cs="Arial"/>
        </w:rPr>
        <w:t>celkem</w:t>
      </w:r>
      <w:r w:rsidRPr="007D3A46">
        <w:rPr>
          <w:rFonts w:ascii="Arial" w:hAnsi="Arial" w:cs="Arial"/>
        </w:rPr>
        <w:t xml:space="preserve"> 200 556</w:t>
      </w:r>
      <w:r>
        <w:rPr>
          <w:rFonts w:ascii="Arial" w:hAnsi="Arial" w:cs="Arial"/>
        </w:rPr>
        <w:t>.</w:t>
      </w:r>
    </w:p>
    <w:p w14:paraId="0503D30F" w14:textId="77777777" w:rsidR="009B63B6" w:rsidRPr="007D3A46" w:rsidRDefault="009B63B6" w:rsidP="009B63B6">
      <w:pPr>
        <w:spacing w:after="240"/>
        <w:jc w:val="both"/>
        <w:rPr>
          <w:rFonts w:ascii="Arial" w:hAnsi="Arial" w:cs="Arial"/>
        </w:rPr>
      </w:pPr>
      <w:r w:rsidRPr="007D3A46">
        <w:rPr>
          <w:rFonts w:ascii="Arial" w:hAnsi="Arial" w:cs="Arial"/>
        </w:rPr>
        <w:t xml:space="preserve">4) </w:t>
      </w:r>
      <w:r>
        <w:rPr>
          <w:rFonts w:ascii="Arial" w:hAnsi="Arial" w:cs="Arial"/>
        </w:rPr>
        <w:t>K</w:t>
      </w:r>
      <w:r w:rsidRPr="007D3A46">
        <w:rPr>
          <w:rFonts w:ascii="Arial" w:hAnsi="Arial" w:cs="Arial"/>
        </w:rPr>
        <w:t> 31. 3. 2023</w:t>
      </w:r>
      <w:r>
        <w:rPr>
          <w:rFonts w:ascii="Arial" w:hAnsi="Arial" w:cs="Arial"/>
        </w:rPr>
        <w:t xml:space="preserve"> byl</w:t>
      </w:r>
      <w:r w:rsidRPr="007D3A46">
        <w:rPr>
          <w:rFonts w:ascii="Arial" w:hAnsi="Arial" w:cs="Arial"/>
        </w:rPr>
        <w:t xml:space="preserve"> počet OSVČ s příjmem v rozmezí 1 000 000 Kč a více </w:t>
      </w:r>
      <w:r>
        <w:rPr>
          <w:rFonts w:ascii="Arial" w:hAnsi="Arial" w:cs="Arial"/>
        </w:rPr>
        <w:t>celkem</w:t>
      </w:r>
      <w:r w:rsidRPr="007D3A46">
        <w:rPr>
          <w:rFonts w:ascii="Arial" w:hAnsi="Arial" w:cs="Arial"/>
        </w:rPr>
        <w:t xml:space="preserve"> 176 440</w:t>
      </w:r>
      <w:r>
        <w:rPr>
          <w:rFonts w:ascii="Arial" w:hAnsi="Arial" w:cs="Arial"/>
        </w:rPr>
        <w:t>.</w:t>
      </w:r>
    </w:p>
    <w:p w14:paraId="7EC4A529" w14:textId="77777777" w:rsidR="009B63B6" w:rsidRPr="007D3A46" w:rsidRDefault="009B63B6" w:rsidP="009B63B6">
      <w:pPr>
        <w:spacing w:after="240" w:line="276" w:lineRule="auto"/>
        <w:jc w:val="both"/>
        <w:rPr>
          <w:rFonts w:ascii="Arial" w:hAnsi="Arial" w:cs="Arial"/>
        </w:rPr>
      </w:pPr>
      <w:r w:rsidRPr="007D3A46">
        <w:rPr>
          <w:rFonts w:ascii="Arial" w:hAnsi="Arial" w:cs="Arial"/>
        </w:rPr>
        <w:t xml:space="preserve">Výše uvedené počty daňových subjektů vycházejí z vyměřených daňových přiznání k DPFO za zdaňovací období roku 2021 (poslední kompletní ZO). </w:t>
      </w:r>
    </w:p>
    <w:p w14:paraId="5901175F" w14:textId="77777777" w:rsidR="009B63B6" w:rsidRPr="007D3A46" w:rsidRDefault="009B63B6" w:rsidP="009B63B6">
      <w:pPr>
        <w:spacing w:after="240" w:line="276" w:lineRule="auto"/>
        <w:jc w:val="both"/>
        <w:rPr>
          <w:rFonts w:ascii="Arial" w:hAnsi="Arial" w:cs="Arial"/>
        </w:rPr>
      </w:pPr>
      <w:r w:rsidRPr="007D3A46">
        <w:rPr>
          <w:rFonts w:ascii="Arial" w:hAnsi="Arial" w:cs="Arial"/>
        </w:rPr>
        <w:t xml:space="preserve">Za OSVČ považujeme daňové subjekty, které v přiznání uvedli základ daně dle § 7 </w:t>
      </w:r>
      <w:r>
        <w:rPr>
          <w:rFonts w:ascii="Arial" w:hAnsi="Arial" w:cs="Arial"/>
        </w:rPr>
        <w:t>zákona č. 586/1992 Sb., o daních z příjmů, ve znění pozdějších předpisů (dále jen „</w:t>
      </w:r>
      <w:r w:rsidRPr="007D3A46">
        <w:rPr>
          <w:rFonts w:ascii="Arial" w:hAnsi="Arial" w:cs="Arial"/>
        </w:rPr>
        <w:t>ZDP</w:t>
      </w:r>
      <w:r>
        <w:rPr>
          <w:rFonts w:ascii="Arial" w:hAnsi="Arial" w:cs="Arial"/>
        </w:rPr>
        <w:t>“),</w:t>
      </w:r>
      <w:r w:rsidRPr="007D3A46">
        <w:rPr>
          <w:rFonts w:ascii="Arial" w:hAnsi="Arial" w:cs="Arial"/>
        </w:rPr>
        <w:t xml:space="preserve"> případně další informace z přílohy č. 1 daňového přiznání. Za OSVČ jsou tedy považovány např. i</w:t>
      </w:r>
      <w:r>
        <w:rPr>
          <w:rFonts w:ascii="Arial" w:hAnsi="Arial" w:cs="Arial"/>
        </w:rPr>
        <w:t> </w:t>
      </w:r>
      <w:r w:rsidRPr="007D3A46">
        <w:rPr>
          <w:rFonts w:ascii="Arial" w:hAnsi="Arial" w:cs="Arial"/>
        </w:rPr>
        <w:t xml:space="preserve">spolupracující osoby, společníci v.o.s., </w:t>
      </w:r>
      <w:proofErr w:type="gramStart"/>
      <w:r w:rsidRPr="007D3A46">
        <w:rPr>
          <w:rFonts w:ascii="Arial" w:hAnsi="Arial" w:cs="Arial"/>
        </w:rPr>
        <w:t>komplementáři,</w:t>
      </w:r>
      <w:proofErr w:type="gramEnd"/>
      <w:r w:rsidRPr="007D3A46">
        <w:rPr>
          <w:rFonts w:ascii="Arial" w:hAnsi="Arial" w:cs="Arial"/>
        </w:rPr>
        <w:t xml:space="preserve"> atd. Nebere se ohled na vyplnění § 6, 8, 9 a 10 ZDP, tudíž může docházet např. i k souběhu zaměstnání a samostatné výdělečné činnosti.</w:t>
      </w:r>
    </w:p>
    <w:p w14:paraId="19EA6C8F" w14:textId="77777777" w:rsidR="009B63B6" w:rsidRPr="007D3A46" w:rsidRDefault="009B63B6" w:rsidP="009B63B6">
      <w:pPr>
        <w:spacing w:after="240" w:line="276" w:lineRule="auto"/>
        <w:jc w:val="both"/>
        <w:rPr>
          <w:rFonts w:ascii="Arial" w:hAnsi="Arial" w:cs="Arial"/>
        </w:rPr>
      </w:pPr>
      <w:r w:rsidRPr="007D3A46">
        <w:rPr>
          <w:rFonts w:ascii="Arial" w:hAnsi="Arial" w:cs="Arial"/>
        </w:rPr>
        <w:t xml:space="preserve">Jako příjmy bereme u poplatníků, kteří vedou účetnictví, roční úhrn čistého obratu. U všech ostatních pak příjmy dle § 7 </w:t>
      </w:r>
      <w:r>
        <w:rPr>
          <w:rFonts w:ascii="Arial" w:hAnsi="Arial" w:cs="Arial"/>
        </w:rPr>
        <w:t xml:space="preserve">ZDP </w:t>
      </w:r>
      <w:r w:rsidRPr="007D3A46">
        <w:rPr>
          <w:rFonts w:ascii="Arial" w:hAnsi="Arial" w:cs="Arial"/>
        </w:rPr>
        <w:t>na ř. 101 daňového přiznání. Výše uvedené subjekty, jako např. spolupracující osoby, však tyto příjmy nemusí vyplňovat, přesto jsou v počtech obsaženy, a spadnou tak do intervalu do 150 000 Kč.</w:t>
      </w:r>
    </w:p>
    <w:p w14:paraId="515363A5" w14:textId="77777777" w:rsidR="009B63B6" w:rsidRPr="007D3A46" w:rsidRDefault="009B63B6" w:rsidP="009B63B6">
      <w:pPr>
        <w:spacing w:after="240" w:line="276" w:lineRule="auto"/>
        <w:jc w:val="both"/>
        <w:rPr>
          <w:rFonts w:ascii="Arial" w:hAnsi="Arial" w:cs="Arial"/>
        </w:rPr>
      </w:pPr>
      <w:r w:rsidRPr="007D3A46">
        <w:rPr>
          <w:rFonts w:ascii="Arial" w:hAnsi="Arial" w:cs="Arial"/>
        </w:rPr>
        <w:t xml:space="preserve">5) </w:t>
      </w:r>
      <w:r>
        <w:rPr>
          <w:rFonts w:ascii="Arial" w:hAnsi="Arial" w:cs="Arial"/>
        </w:rPr>
        <w:t xml:space="preserve">K </w:t>
      </w:r>
      <w:r w:rsidRPr="007D3A46">
        <w:rPr>
          <w:rFonts w:ascii="Arial" w:hAnsi="Arial" w:cs="Arial"/>
        </w:rPr>
        <w:t>31. 5. 2023</w:t>
      </w:r>
      <w:r>
        <w:rPr>
          <w:rFonts w:ascii="Arial" w:hAnsi="Arial" w:cs="Arial"/>
        </w:rPr>
        <w:t xml:space="preserve"> se jednalo o celkem o </w:t>
      </w:r>
      <w:r w:rsidRPr="007D3A46">
        <w:rPr>
          <w:rFonts w:ascii="Arial" w:hAnsi="Arial" w:cs="Arial"/>
        </w:rPr>
        <w:t>102 537 OSVČ</w:t>
      </w:r>
      <w:r>
        <w:rPr>
          <w:rFonts w:ascii="Arial" w:hAnsi="Arial" w:cs="Arial"/>
        </w:rPr>
        <w:t xml:space="preserve"> (aktivních daňových subjektů), kteří</w:t>
      </w:r>
      <w:r w:rsidRPr="007D3A46">
        <w:rPr>
          <w:rFonts w:ascii="Arial" w:hAnsi="Arial" w:cs="Arial"/>
        </w:rPr>
        <w:t xml:space="preserve"> využív</w:t>
      </w:r>
      <w:r>
        <w:rPr>
          <w:rFonts w:ascii="Arial" w:hAnsi="Arial" w:cs="Arial"/>
        </w:rPr>
        <w:t>ali</w:t>
      </w:r>
      <w:r w:rsidRPr="007D3A46">
        <w:rPr>
          <w:rFonts w:ascii="Arial" w:hAnsi="Arial" w:cs="Arial"/>
        </w:rPr>
        <w:t xml:space="preserve"> daňový paušál v prvním pásmu</w:t>
      </w:r>
      <w:r>
        <w:rPr>
          <w:rFonts w:ascii="Arial" w:hAnsi="Arial" w:cs="Arial"/>
        </w:rPr>
        <w:t xml:space="preserve">. </w:t>
      </w:r>
    </w:p>
    <w:p w14:paraId="0722858A" w14:textId="77777777" w:rsidR="009B63B6" w:rsidRPr="007D3A46" w:rsidRDefault="009B63B6" w:rsidP="009B63B6">
      <w:pPr>
        <w:spacing w:after="240" w:line="276" w:lineRule="auto"/>
        <w:jc w:val="both"/>
        <w:rPr>
          <w:rFonts w:ascii="Arial" w:hAnsi="Arial" w:cs="Arial"/>
        </w:rPr>
      </w:pPr>
      <w:r w:rsidRPr="007D3A46">
        <w:rPr>
          <w:rFonts w:ascii="Arial" w:hAnsi="Arial" w:cs="Arial"/>
        </w:rPr>
        <w:t xml:space="preserve">6) </w:t>
      </w:r>
      <w:r>
        <w:rPr>
          <w:rFonts w:ascii="Arial" w:hAnsi="Arial" w:cs="Arial"/>
        </w:rPr>
        <w:t>K</w:t>
      </w:r>
      <w:r w:rsidRPr="007D3A46">
        <w:rPr>
          <w:rFonts w:ascii="Arial" w:hAnsi="Arial" w:cs="Arial"/>
        </w:rPr>
        <w:t> 31. 5. 2023</w:t>
      </w:r>
      <w:r>
        <w:rPr>
          <w:rFonts w:ascii="Arial" w:hAnsi="Arial" w:cs="Arial"/>
        </w:rPr>
        <w:t xml:space="preserve"> se jednalo o celkem o </w:t>
      </w:r>
      <w:r w:rsidRPr="007D3A46">
        <w:rPr>
          <w:rFonts w:ascii="Arial" w:hAnsi="Arial" w:cs="Arial"/>
        </w:rPr>
        <w:t>1 093 OSVČ</w:t>
      </w:r>
      <w:r w:rsidRPr="00FC10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(aktivních daňových subjektů), kteří </w:t>
      </w:r>
      <w:r w:rsidRPr="007D3A46">
        <w:rPr>
          <w:rFonts w:ascii="Arial" w:hAnsi="Arial" w:cs="Arial"/>
        </w:rPr>
        <w:t>využív</w:t>
      </w:r>
      <w:r>
        <w:rPr>
          <w:rFonts w:ascii="Arial" w:hAnsi="Arial" w:cs="Arial"/>
        </w:rPr>
        <w:t>ali</w:t>
      </w:r>
      <w:r w:rsidRPr="007D3A46">
        <w:rPr>
          <w:rFonts w:ascii="Arial" w:hAnsi="Arial" w:cs="Arial"/>
        </w:rPr>
        <w:t xml:space="preserve"> daňový paušál ve druhém pásmu</w:t>
      </w:r>
      <w:r>
        <w:rPr>
          <w:rFonts w:ascii="Arial" w:hAnsi="Arial" w:cs="Arial"/>
        </w:rPr>
        <w:t>.</w:t>
      </w:r>
    </w:p>
    <w:p w14:paraId="5269B561" w14:textId="77777777" w:rsidR="009B63B6" w:rsidRPr="007D3A46" w:rsidRDefault="009B63B6" w:rsidP="009B63B6">
      <w:pPr>
        <w:spacing w:after="240" w:line="276" w:lineRule="auto"/>
        <w:jc w:val="both"/>
        <w:rPr>
          <w:rFonts w:ascii="Arial" w:hAnsi="Arial" w:cs="Arial"/>
        </w:rPr>
      </w:pPr>
      <w:r w:rsidRPr="007D3A46">
        <w:rPr>
          <w:rFonts w:ascii="Arial" w:hAnsi="Arial" w:cs="Arial"/>
        </w:rPr>
        <w:t xml:space="preserve">7) </w:t>
      </w:r>
      <w:r>
        <w:rPr>
          <w:rFonts w:ascii="Arial" w:hAnsi="Arial" w:cs="Arial"/>
        </w:rPr>
        <w:t>K</w:t>
      </w:r>
      <w:r w:rsidRPr="007D3A46">
        <w:rPr>
          <w:rFonts w:ascii="Arial" w:hAnsi="Arial" w:cs="Arial"/>
        </w:rPr>
        <w:t> 31. 5. 2023</w:t>
      </w:r>
      <w:r>
        <w:rPr>
          <w:rFonts w:ascii="Arial" w:hAnsi="Arial" w:cs="Arial"/>
        </w:rPr>
        <w:t xml:space="preserve"> se jednalo o celkem o </w:t>
      </w:r>
      <w:r w:rsidRPr="007D3A46">
        <w:rPr>
          <w:rFonts w:ascii="Arial" w:hAnsi="Arial" w:cs="Arial"/>
        </w:rPr>
        <w:t>148 OSVČ</w:t>
      </w:r>
      <w:r>
        <w:rPr>
          <w:rFonts w:ascii="Arial" w:hAnsi="Arial" w:cs="Arial"/>
        </w:rPr>
        <w:t xml:space="preserve"> (aktivních daňových subjektů), kteří </w:t>
      </w:r>
      <w:r w:rsidRPr="007D3A46">
        <w:rPr>
          <w:rFonts w:ascii="Arial" w:hAnsi="Arial" w:cs="Arial"/>
        </w:rPr>
        <w:t>využív</w:t>
      </w:r>
      <w:r>
        <w:rPr>
          <w:rFonts w:ascii="Arial" w:hAnsi="Arial" w:cs="Arial"/>
        </w:rPr>
        <w:t>ali</w:t>
      </w:r>
      <w:r w:rsidRPr="007D3A46">
        <w:rPr>
          <w:rFonts w:ascii="Arial" w:hAnsi="Arial" w:cs="Arial"/>
        </w:rPr>
        <w:t xml:space="preserve"> daňový paušál ve třetím pásmu</w:t>
      </w:r>
      <w:r>
        <w:rPr>
          <w:rFonts w:ascii="Arial" w:hAnsi="Arial" w:cs="Arial"/>
        </w:rPr>
        <w:t>.</w:t>
      </w:r>
    </w:p>
    <w:p w14:paraId="00B68AE6" w14:textId="77777777" w:rsidR="001E1838" w:rsidRDefault="001E1838" w:rsidP="009B63B6">
      <w:pPr>
        <w:spacing w:line="276" w:lineRule="auto"/>
      </w:pPr>
    </w:p>
    <w:sectPr w:rsidR="001E1838" w:rsidSect="00040B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-Regular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B6"/>
    <w:rsid w:val="001E1838"/>
    <w:rsid w:val="009B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54A8"/>
  <w15:chartTrackingRefBased/>
  <w15:docId w15:val="{30056F08-30DA-4066-A6EE-BB17DAEE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3B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B63B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2023-06-20T09:55:00Z</dcterms:created>
  <dcterms:modified xsi:type="dcterms:W3CDTF">2023-06-20T09:59:00Z</dcterms:modified>
</cp:coreProperties>
</file>