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D02D" w14:textId="39DFA294" w:rsidR="00537037" w:rsidRDefault="00537037" w:rsidP="00537037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9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6E4C0126" w14:textId="77777777" w:rsidR="00537037" w:rsidRPr="005256DB" w:rsidRDefault="00537037" w:rsidP="00537037">
      <w:pPr>
        <w:jc w:val="both"/>
        <w:rPr>
          <w:rFonts w:ascii="Arial" w:hAnsi="Arial" w:cs="Arial"/>
          <w:b/>
          <w:u w:val="single"/>
        </w:rPr>
      </w:pPr>
      <w:r w:rsidRPr="005256DB">
        <w:rPr>
          <w:rFonts w:ascii="Arial" w:hAnsi="Arial" w:cs="Arial"/>
          <w:b/>
          <w:u w:val="single"/>
        </w:rPr>
        <w:t xml:space="preserve">Dotaz: </w:t>
      </w:r>
    </w:p>
    <w:p w14:paraId="74D4EE7C" w14:textId="148D868F" w:rsidR="00537037" w:rsidRPr="00537037" w:rsidRDefault="00537037" w:rsidP="00537037">
      <w:pPr>
        <w:jc w:val="both"/>
        <w:rPr>
          <w:rFonts w:ascii="Arial" w:hAnsi="Arial" w:cs="Arial"/>
          <w:b/>
          <w:u w:val="single"/>
        </w:rPr>
      </w:pPr>
      <w:r w:rsidRPr="00537037">
        <w:rPr>
          <w:rFonts w:ascii="Arial" w:hAnsi="Arial" w:cs="Arial"/>
        </w:rPr>
        <w:t>J</w:t>
      </w:r>
      <w:r w:rsidRPr="00537037">
        <w:rPr>
          <w:rFonts w:ascii="Arial" w:hAnsi="Arial" w:cs="Arial"/>
        </w:rPr>
        <w:t>ak bylo naloženo s dříve zaslaným podkladem a zda byla v dané věci přijata jakákoliv opatření</w:t>
      </w:r>
      <w:r w:rsidRPr="00537037">
        <w:rPr>
          <w:rFonts w:ascii="Arial" w:eastAsia="Roboto-Regular" w:hAnsi="Arial" w:cs="Arial"/>
        </w:rPr>
        <w:t xml:space="preserve">. </w:t>
      </w:r>
    </w:p>
    <w:p w14:paraId="27CE099A" w14:textId="77777777" w:rsidR="00537037" w:rsidRDefault="00537037" w:rsidP="00537037">
      <w:pPr>
        <w:jc w:val="both"/>
        <w:rPr>
          <w:rFonts w:ascii="Arial" w:hAnsi="Arial" w:cs="Arial"/>
          <w:b/>
          <w:u w:val="single"/>
        </w:rPr>
      </w:pPr>
      <w:r w:rsidRPr="005256DB">
        <w:rPr>
          <w:rFonts w:ascii="Arial" w:hAnsi="Arial" w:cs="Arial"/>
          <w:b/>
          <w:u w:val="single"/>
        </w:rPr>
        <w:t xml:space="preserve">Odpověď: </w:t>
      </w:r>
    </w:p>
    <w:p w14:paraId="6AC76024" w14:textId="4F85C27F" w:rsidR="00537037" w:rsidRDefault="00537037" w:rsidP="0053703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A77DE">
        <w:rPr>
          <w:rFonts w:ascii="Arial" w:hAnsi="Arial" w:cs="Arial"/>
        </w:rPr>
        <w:t xml:space="preserve"> ohledem na rozsah podání </w:t>
      </w:r>
      <w:r>
        <w:rPr>
          <w:rFonts w:ascii="Arial" w:hAnsi="Arial" w:cs="Arial"/>
        </w:rPr>
        <w:t>jej bylo nutno</w:t>
      </w:r>
      <w:r w:rsidRPr="006A77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důsledně </w:t>
      </w:r>
      <w:r w:rsidRPr="006A77DE">
        <w:rPr>
          <w:rFonts w:ascii="Arial" w:hAnsi="Arial" w:cs="Arial"/>
        </w:rPr>
        <w:t>anal</w:t>
      </w:r>
      <w:r>
        <w:rPr>
          <w:rFonts w:ascii="Arial" w:hAnsi="Arial" w:cs="Arial"/>
        </w:rPr>
        <w:t>yzovat</w:t>
      </w:r>
      <w:r w:rsidRPr="006A77D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 na základě této analýzy lze konstatovat, že </w:t>
      </w:r>
      <w:r w:rsidRPr="006A77DE">
        <w:rPr>
          <w:rFonts w:ascii="Arial" w:hAnsi="Arial" w:cs="Arial"/>
        </w:rPr>
        <w:t>podnět bude využit v rámci postupů při správě daní</w:t>
      </w:r>
      <w:r>
        <w:rPr>
          <w:rFonts w:ascii="Arial" w:hAnsi="Arial" w:cs="Arial"/>
        </w:rPr>
        <w:t xml:space="preserve"> věcně a místně příslušným finančním úřadem. Bohužel </w:t>
      </w:r>
      <w:r w:rsidRPr="006A77DE">
        <w:rPr>
          <w:rFonts w:ascii="Arial" w:hAnsi="Arial" w:cs="Arial"/>
        </w:rPr>
        <w:t>dle § 52 zákona č.</w:t>
      </w:r>
      <w:r>
        <w:rPr>
          <w:rFonts w:ascii="Arial" w:hAnsi="Arial" w:cs="Arial"/>
        </w:rPr>
        <w:t> </w:t>
      </w:r>
      <w:r w:rsidRPr="006A77DE">
        <w:rPr>
          <w:rFonts w:ascii="Arial" w:hAnsi="Arial" w:cs="Arial"/>
        </w:rPr>
        <w:t>280/2009 Sb., daňový řád, ve znění pozdějších předpisů a zároveň dle § 10 ve spojení s</w:t>
      </w:r>
      <w:r>
        <w:rPr>
          <w:rFonts w:ascii="Arial" w:hAnsi="Arial" w:cs="Arial"/>
        </w:rPr>
        <w:t> </w:t>
      </w:r>
      <w:r w:rsidRPr="006A77DE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6A77DE">
        <w:rPr>
          <w:rFonts w:ascii="Arial" w:hAnsi="Arial" w:cs="Arial"/>
        </w:rPr>
        <w:t xml:space="preserve">11 odst. 3 </w:t>
      </w:r>
      <w:proofErr w:type="spellStart"/>
      <w:r w:rsidRPr="006A77DE">
        <w:rPr>
          <w:rFonts w:ascii="Arial" w:hAnsi="Arial" w:cs="Arial"/>
        </w:rPr>
        <w:t>InfZ</w:t>
      </w:r>
      <w:proofErr w:type="spellEnd"/>
      <w:r w:rsidRPr="006A77DE">
        <w:rPr>
          <w:rFonts w:ascii="Arial" w:hAnsi="Arial" w:cs="Arial"/>
        </w:rPr>
        <w:t xml:space="preserve"> nelze sdělovat výsledek šetření ani žádné konkrétní informace o průběhu daňového řízení.</w:t>
      </w:r>
    </w:p>
    <w:p w14:paraId="7F8C0C07" w14:textId="77777777" w:rsidR="00537037" w:rsidRDefault="00537037" w:rsidP="00537037"/>
    <w:p w14:paraId="313CF3C9" w14:textId="77777777" w:rsidR="00625753" w:rsidRDefault="00625753"/>
    <w:sectPr w:rsidR="00625753" w:rsidSect="006D74B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37"/>
    <w:rsid w:val="00537037"/>
    <w:rsid w:val="0062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BF37"/>
  <w15:chartTrackingRefBased/>
  <w15:docId w15:val="{7878FA7C-89D0-473E-911F-C73CBB74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0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7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2022-12-29T10:57:00Z</dcterms:created>
  <dcterms:modified xsi:type="dcterms:W3CDTF">2022-12-29T11:00:00Z</dcterms:modified>
</cp:coreProperties>
</file>