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A7" w:rsidRPr="00A844FE" w:rsidRDefault="006B5BA7" w:rsidP="006B5BA7">
      <w:pPr>
        <w:spacing w:after="100" w:afterAutospacing="1"/>
        <w:jc w:val="both"/>
        <w:rPr>
          <w:rFonts w:ascii="Arial" w:hAnsi="Arial" w:cs="Arial"/>
          <w:b/>
          <w:u w:val="single"/>
        </w:rPr>
      </w:pPr>
      <w:r w:rsidRPr="00A844FE">
        <w:rPr>
          <w:rFonts w:ascii="Arial" w:hAnsi="Arial" w:cs="Arial"/>
          <w:b/>
          <w:u w:val="single"/>
        </w:rPr>
        <w:t>Poskytnutá informace GFŘ podle zákona o s</w:t>
      </w:r>
      <w:r>
        <w:rPr>
          <w:rFonts w:ascii="Arial" w:hAnsi="Arial" w:cs="Arial"/>
          <w:b/>
          <w:u w:val="single"/>
        </w:rPr>
        <w:t>vobodném přístupu k informacím 4</w:t>
      </w:r>
      <w:r>
        <w:rPr>
          <w:rFonts w:ascii="Arial" w:hAnsi="Arial" w:cs="Arial"/>
          <w:b/>
          <w:u w:val="single"/>
        </w:rPr>
        <w:t>4</w:t>
      </w:r>
      <w:r w:rsidRPr="00A844FE">
        <w:rPr>
          <w:rFonts w:ascii="Arial" w:hAnsi="Arial" w:cs="Arial"/>
          <w:b/>
          <w:u w:val="single"/>
        </w:rPr>
        <w:t>/2018</w:t>
      </w:r>
    </w:p>
    <w:p w:rsidR="006B5BA7" w:rsidRDefault="006B5BA7" w:rsidP="006B5BA7">
      <w:pPr>
        <w:jc w:val="both"/>
        <w:rPr>
          <w:rFonts w:ascii="Arial" w:hAnsi="Arial" w:cs="Arial"/>
          <w:b/>
          <w:i/>
          <w:u w:val="single"/>
        </w:rPr>
      </w:pPr>
      <w:r w:rsidRPr="00A844FE">
        <w:rPr>
          <w:rFonts w:ascii="Arial" w:hAnsi="Arial" w:cs="Arial"/>
          <w:b/>
          <w:u w:val="single"/>
        </w:rPr>
        <w:t>Dotaz</w:t>
      </w:r>
      <w:r w:rsidRPr="00A844FE">
        <w:rPr>
          <w:rFonts w:ascii="Arial" w:hAnsi="Arial" w:cs="Arial"/>
          <w:b/>
          <w:i/>
          <w:u w:val="single"/>
        </w:rPr>
        <w:t>:</w:t>
      </w:r>
    </w:p>
    <w:p w:rsidR="006B5BA7" w:rsidRPr="005E6FFC" w:rsidRDefault="006B5BA7" w:rsidP="006B5BA7">
      <w:pPr>
        <w:autoSpaceDE w:val="0"/>
        <w:autoSpaceDN w:val="0"/>
        <w:adjustRightInd w:val="0"/>
        <w:spacing w:after="100" w:afterAutospacing="1"/>
        <w:jc w:val="both"/>
        <w:rPr>
          <w:rFonts w:ascii="Arial" w:eastAsiaTheme="minorHAnsi" w:hAnsi="Arial" w:cs="Arial"/>
          <w:i/>
        </w:rPr>
      </w:pPr>
      <w:r>
        <w:rPr>
          <w:rFonts w:ascii="Arial" w:eastAsiaTheme="minorHAnsi" w:hAnsi="Arial" w:cs="Arial"/>
          <w:i/>
        </w:rPr>
        <w:t>V</w:t>
      </w:r>
      <w:r w:rsidRPr="005E6FFC">
        <w:rPr>
          <w:rFonts w:ascii="Arial" w:eastAsiaTheme="minorHAnsi" w:hAnsi="Arial" w:cs="Arial"/>
          <w:i/>
        </w:rPr>
        <w:t xml:space="preserve"> souladu se zákonem č. 106/1999 Sb., o svobodném přístupu k informacím, ve znění pozdějších předpisů, Váš žádám o poskytnutí informací, jak</w:t>
      </w:r>
      <w:r>
        <w:rPr>
          <w:rFonts w:ascii="Arial" w:eastAsiaTheme="minorHAnsi" w:hAnsi="Arial" w:cs="Arial"/>
          <w:i/>
        </w:rPr>
        <w:t>ý názor zastává daňová správa v </w:t>
      </w:r>
      <w:bookmarkStart w:id="0" w:name="_GoBack"/>
      <w:bookmarkEnd w:id="0"/>
      <w:r w:rsidRPr="005E6FFC">
        <w:rPr>
          <w:rFonts w:ascii="Arial" w:eastAsiaTheme="minorHAnsi" w:hAnsi="Arial" w:cs="Arial"/>
          <w:i/>
        </w:rPr>
        <w:t>případě následujících situací úprav převodních cen mezi spřízněnými osobami („</w:t>
      </w:r>
      <w:r w:rsidRPr="005E6FFC">
        <w:rPr>
          <w:rFonts w:ascii="Arial" w:eastAsiaTheme="minorHAnsi" w:hAnsi="Arial" w:cs="Arial"/>
          <w:b/>
          <w:bCs/>
          <w:i/>
        </w:rPr>
        <w:t xml:space="preserve">TP </w:t>
      </w:r>
      <w:proofErr w:type="spellStart"/>
      <w:r w:rsidRPr="005E6FFC">
        <w:rPr>
          <w:rFonts w:ascii="Arial" w:eastAsiaTheme="minorHAnsi" w:hAnsi="Arial" w:cs="Arial"/>
          <w:b/>
          <w:bCs/>
          <w:i/>
        </w:rPr>
        <w:t>adjustmenty</w:t>
      </w:r>
      <w:proofErr w:type="spellEnd"/>
      <w:r w:rsidRPr="005E6FFC">
        <w:rPr>
          <w:rFonts w:ascii="Arial" w:eastAsiaTheme="minorHAnsi" w:hAnsi="Arial" w:cs="Arial"/>
          <w:i/>
        </w:rPr>
        <w:t>“ nebo „</w:t>
      </w:r>
      <w:r w:rsidRPr="005E6FFC">
        <w:rPr>
          <w:rFonts w:ascii="Arial" w:eastAsiaTheme="minorHAnsi" w:hAnsi="Arial" w:cs="Arial"/>
          <w:b/>
          <w:bCs/>
          <w:i/>
        </w:rPr>
        <w:t>úprava ziskovosti</w:t>
      </w:r>
      <w:r w:rsidRPr="005E6FFC">
        <w:rPr>
          <w:rFonts w:ascii="Arial" w:eastAsiaTheme="minorHAnsi" w:hAnsi="Arial" w:cs="Arial"/>
          <w:i/>
        </w:rPr>
        <w:t>“) z pohledu daně z přidané hodnoty („</w:t>
      </w:r>
      <w:r w:rsidRPr="005E6FFC">
        <w:rPr>
          <w:rFonts w:ascii="Arial" w:eastAsiaTheme="minorHAnsi" w:hAnsi="Arial" w:cs="Arial"/>
          <w:b/>
          <w:bCs/>
          <w:i/>
        </w:rPr>
        <w:t>DPH</w:t>
      </w:r>
      <w:r w:rsidRPr="005E6FFC">
        <w:rPr>
          <w:rFonts w:ascii="Arial" w:eastAsiaTheme="minorHAnsi" w:hAnsi="Arial" w:cs="Arial"/>
          <w:i/>
        </w:rPr>
        <w:t>“). Obecně předpokládejme, že veškeré modelové prodeje probíhají v tuzemsku a že všechny společnosti mají sídlo rovněž v tuzemsku.</w:t>
      </w:r>
    </w:p>
    <w:p w:rsidR="006B5BA7" w:rsidRPr="005E6FFC" w:rsidRDefault="006B5BA7" w:rsidP="006B5BA7">
      <w:pPr>
        <w:autoSpaceDE w:val="0"/>
        <w:autoSpaceDN w:val="0"/>
        <w:adjustRightInd w:val="0"/>
        <w:spacing w:after="100" w:afterAutospacing="1"/>
        <w:jc w:val="both"/>
        <w:rPr>
          <w:rFonts w:ascii="Arial" w:eastAsiaTheme="minorHAnsi" w:hAnsi="Arial" w:cs="Arial"/>
          <w:i/>
        </w:rPr>
      </w:pPr>
      <w:r w:rsidRPr="005E6FFC">
        <w:rPr>
          <w:rFonts w:ascii="Arial" w:eastAsiaTheme="minorHAnsi" w:hAnsi="Arial" w:cs="Arial"/>
          <w:i/>
        </w:rPr>
        <w:t>1. Smluvní výrobce (anglicky „</w:t>
      </w:r>
      <w:proofErr w:type="spellStart"/>
      <w:r w:rsidRPr="005E6FFC">
        <w:rPr>
          <w:rFonts w:ascii="Arial" w:eastAsiaTheme="minorHAnsi" w:hAnsi="Arial" w:cs="Arial"/>
          <w:i/>
          <w:iCs/>
        </w:rPr>
        <w:t>contract</w:t>
      </w:r>
      <w:proofErr w:type="spellEnd"/>
      <w:r w:rsidRPr="005E6FFC">
        <w:rPr>
          <w:rFonts w:ascii="Arial" w:eastAsiaTheme="minorHAnsi" w:hAnsi="Arial" w:cs="Arial"/>
          <w:i/>
          <w:iCs/>
        </w:rPr>
        <w:t xml:space="preserve"> </w:t>
      </w:r>
      <w:proofErr w:type="spellStart"/>
      <w:r w:rsidRPr="005E6FFC">
        <w:rPr>
          <w:rFonts w:ascii="Arial" w:eastAsiaTheme="minorHAnsi" w:hAnsi="Arial" w:cs="Arial"/>
          <w:i/>
          <w:iCs/>
        </w:rPr>
        <w:t>manufacturer</w:t>
      </w:r>
      <w:proofErr w:type="spellEnd"/>
      <w:r w:rsidRPr="005E6FFC">
        <w:rPr>
          <w:rFonts w:ascii="Arial" w:eastAsiaTheme="minorHAnsi" w:hAnsi="Arial" w:cs="Arial"/>
          <w:i/>
        </w:rPr>
        <w:t xml:space="preserve">“) prodává zboží principálovi za předem určené ceny (buď fixní, nebo variabilní, např. cost+5%). Ze smluvní dokumentace mezi oběma stranami plyne, že na konci roku proběhne mezi stranami vyrovnání prostřednictvím TP </w:t>
      </w:r>
      <w:proofErr w:type="spellStart"/>
      <w:r w:rsidRPr="005E6FFC">
        <w:rPr>
          <w:rFonts w:ascii="Arial" w:eastAsiaTheme="minorHAnsi" w:hAnsi="Arial" w:cs="Arial"/>
          <w:i/>
        </w:rPr>
        <w:t>adjustmentu</w:t>
      </w:r>
      <w:proofErr w:type="spellEnd"/>
      <w:r w:rsidRPr="005E6FFC">
        <w:rPr>
          <w:rFonts w:ascii="Arial" w:eastAsiaTheme="minorHAnsi" w:hAnsi="Arial" w:cs="Arial"/>
          <w:i/>
        </w:rPr>
        <w:t xml:space="preserve"> (neboli úprava ziskovosti) tak, aby smluvnímu výrobci náležela ziskovost na úrovni ROCE1 10%. V případě, kdy smluvní výrobce dosáhne ukazatele ROCE&lt;10%, náleží mu ze strany principála „dorovnání“ ve výši rozdílu mezi skutečným </w:t>
      </w:r>
      <w:proofErr w:type="gramStart"/>
      <w:r w:rsidRPr="005E6FFC">
        <w:rPr>
          <w:rFonts w:ascii="Arial" w:eastAsiaTheme="minorHAnsi" w:hAnsi="Arial" w:cs="Arial"/>
          <w:i/>
        </w:rPr>
        <w:t>ROCE</w:t>
      </w:r>
      <w:proofErr w:type="gramEnd"/>
      <w:r w:rsidRPr="005E6FFC">
        <w:rPr>
          <w:rFonts w:ascii="Arial" w:eastAsiaTheme="minorHAnsi" w:hAnsi="Arial" w:cs="Arial"/>
          <w:i/>
        </w:rPr>
        <w:t xml:space="preserve"> a dohodnutým ROCE 10%. Naopak, pokud smluvní výrobce dosáhne ukazatele ROCE&gt;10%, náleží naopak principálovi ze strany smluvního výrobce „dorovnání“ ve výši rozdílu. Mezi TP </w:t>
      </w:r>
      <w:proofErr w:type="spellStart"/>
      <w:r w:rsidRPr="005E6FFC">
        <w:rPr>
          <w:rFonts w:ascii="Arial" w:eastAsiaTheme="minorHAnsi" w:hAnsi="Arial" w:cs="Arial"/>
          <w:i/>
        </w:rPr>
        <w:t>adjustmentem</w:t>
      </w:r>
      <w:proofErr w:type="spellEnd"/>
      <w:r w:rsidRPr="005E6FFC">
        <w:rPr>
          <w:rFonts w:ascii="Arial" w:eastAsiaTheme="minorHAnsi" w:hAnsi="Arial" w:cs="Arial"/>
          <w:i/>
        </w:rPr>
        <w:t xml:space="preserve"> (tedy rozdílem mezi skutečným ROCE a dohodnutým ROCE 10%) a původními dodávkami není možné vysledovat přímou a bezprostřední vazbu (neboť TP </w:t>
      </w:r>
      <w:proofErr w:type="spellStart"/>
      <w:r>
        <w:rPr>
          <w:rFonts w:ascii="Arial" w:eastAsiaTheme="minorHAnsi" w:hAnsi="Arial" w:cs="Arial"/>
          <w:i/>
        </w:rPr>
        <w:t>adjustment</w:t>
      </w:r>
      <w:proofErr w:type="spellEnd"/>
      <w:r>
        <w:rPr>
          <w:rFonts w:ascii="Arial" w:eastAsiaTheme="minorHAnsi" w:hAnsi="Arial" w:cs="Arial"/>
          <w:i/>
        </w:rPr>
        <w:t xml:space="preserve"> je vázán na </w:t>
      </w:r>
      <w:r w:rsidRPr="005E6FFC">
        <w:rPr>
          <w:rFonts w:ascii="Arial" w:eastAsiaTheme="minorHAnsi" w:hAnsi="Arial" w:cs="Arial"/>
          <w:i/>
        </w:rPr>
        <w:t xml:space="preserve">dosažení určité výše ziskovosti </w:t>
      </w:r>
      <w:proofErr w:type="gramStart"/>
      <w:r w:rsidRPr="005E6FFC">
        <w:rPr>
          <w:rFonts w:ascii="Arial" w:eastAsiaTheme="minorHAnsi" w:hAnsi="Arial" w:cs="Arial"/>
          <w:i/>
        </w:rPr>
        <w:t>měřené</w:t>
      </w:r>
      <w:proofErr w:type="gramEnd"/>
      <w:r w:rsidRPr="005E6FFC">
        <w:rPr>
          <w:rFonts w:ascii="Arial" w:eastAsiaTheme="minorHAnsi" w:hAnsi="Arial" w:cs="Arial"/>
          <w:i/>
        </w:rPr>
        <w:t xml:space="preserve"> ROCE, nikoliv na konkrétní dodávky uskutečněné během roku; je pouze stanoven za předem určené období, typicky kalendářní, či fiskální rok), byť lze konstatovat, že cena původních dodávek nepřímo determinuje dosažený </w:t>
      </w:r>
      <w:proofErr w:type="gramStart"/>
      <w:r w:rsidRPr="005E6FFC">
        <w:rPr>
          <w:rFonts w:ascii="Arial" w:eastAsiaTheme="minorHAnsi" w:hAnsi="Arial" w:cs="Arial"/>
          <w:i/>
        </w:rPr>
        <w:t>ROCE</w:t>
      </w:r>
      <w:proofErr w:type="gramEnd"/>
      <w:r w:rsidRPr="005E6FFC">
        <w:rPr>
          <w:rFonts w:ascii="Arial" w:eastAsiaTheme="minorHAnsi" w:hAnsi="Arial" w:cs="Arial"/>
          <w:i/>
        </w:rPr>
        <w:t>.</w:t>
      </w:r>
    </w:p>
    <w:p w:rsidR="006B5BA7" w:rsidRPr="005E6FFC" w:rsidRDefault="006B5BA7" w:rsidP="006B5BA7">
      <w:pPr>
        <w:autoSpaceDE w:val="0"/>
        <w:autoSpaceDN w:val="0"/>
        <w:adjustRightInd w:val="0"/>
        <w:spacing w:after="100" w:afterAutospacing="1"/>
        <w:jc w:val="both"/>
        <w:rPr>
          <w:rFonts w:ascii="Arial" w:eastAsiaTheme="minorHAnsi" w:hAnsi="Arial" w:cs="Arial"/>
          <w:i/>
        </w:rPr>
      </w:pPr>
      <w:r w:rsidRPr="005E6FFC">
        <w:rPr>
          <w:rFonts w:ascii="Arial" w:eastAsiaTheme="minorHAnsi" w:hAnsi="Arial" w:cs="Arial"/>
          <w:i/>
        </w:rPr>
        <w:t>Dílčí otázka 1a</w:t>
      </w:r>
    </w:p>
    <w:p w:rsidR="006B5BA7" w:rsidRPr="005E6FFC" w:rsidRDefault="006B5BA7" w:rsidP="006B5BA7">
      <w:pPr>
        <w:autoSpaceDE w:val="0"/>
        <w:autoSpaceDN w:val="0"/>
        <w:adjustRightInd w:val="0"/>
        <w:spacing w:after="100" w:afterAutospacing="1"/>
        <w:jc w:val="both"/>
        <w:rPr>
          <w:rFonts w:ascii="Arial" w:eastAsiaTheme="minorHAnsi" w:hAnsi="Arial" w:cs="Arial"/>
          <w:i/>
        </w:rPr>
      </w:pPr>
      <w:r w:rsidRPr="005E6FFC">
        <w:rPr>
          <w:rFonts w:ascii="Arial" w:eastAsiaTheme="minorHAnsi" w:hAnsi="Arial" w:cs="Arial"/>
          <w:i/>
        </w:rPr>
        <w:t xml:space="preserve">Prosím o vyjádření, zda daňová správa v takovém případě považuje TP </w:t>
      </w:r>
      <w:proofErr w:type="spellStart"/>
      <w:r w:rsidRPr="005E6FFC">
        <w:rPr>
          <w:rFonts w:ascii="Arial" w:eastAsiaTheme="minorHAnsi" w:hAnsi="Arial" w:cs="Arial"/>
          <w:i/>
        </w:rPr>
        <w:t>adjustment</w:t>
      </w:r>
      <w:proofErr w:type="spellEnd"/>
      <w:r w:rsidRPr="005E6FFC">
        <w:rPr>
          <w:rFonts w:ascii="Arial" w:eastAsiaTheme="minorHAnsi" w:hAnsi="Arial" w:cs="Arial"/>
          <w:i/>
        </w:rPr>
        <w:t xml:space="preserve"> / úpravu ziskovosti za </w:t>
      </w:r>
      <w:r w:rsidRPr="005E6FFC">
        <w:rPr>
          <w:rFonts w:ascii="Arial" w:eastAsiaTheme="minorHAnsi" w:hAnsi="Arial" w:cs="Arial"/>
          <w:b/>
          <w:bCs/>
          <w:i/>
        </w:rPr>
        <w:t>mimo předmět DPH</w:t>
      </w:r>
      <w:r w:rsidRPr="005E6FFC">
        <w:rPr>
          <w:rFonts w:ascii="Arial" w:eastAsiaTheme="minorHAnsi" w:hAnsi="Arial" w:cs="Arial"/>
          <w:i/>
        </w:rPr>
        <w:t>, neboť pro určení, zda je taková úprava DPH relevantní, je nutné nalézt přímou a bezprostřední vazbu na původní plnění. Nepřímá vazba je v takovém případě nedostatečná pro konstatování, že předmětné „dorovnání“ je předmětem DPH v tuzemsku.</w:t>
      </w:r>
    </w:p>
    <w:p w:rsidR="006B5BA7" w:rsidRPr="005E6FFC" w:rsidRDefault="006B5BA7" w:rsidP="006B5BA7">
      <w:pPr>
        <w:autoSpaceDE w:val="0"/>
        <w:autoSpaceDN w:val="0"/>
        <w:adjustRightInd w:val="0"/>
        <w:spacing w:after="100" w:afterAutospacing="1"/>
        <w:jc w:val="both"/>
        <w:rPr>
          <w:rFonts w:ascii="Arial" w:eastAsiaTheme="minorHAnsi" w:hAnsi="Arial" w:cs="Arial"/>
          <w:i/>
        </w:rPr>
      </w:pPr>
      <w:r w:rsidRPr="005E6FFC">
        <w:rPr>
          <w:rFonts w:ascii="Arial" w:eastAsiaTheme="minorHAnsi" w:hAnsi="Arial" w:cs="Arial"/>
          <w:i/>
        </w:rPr>
        <w:t>Dílčí otázka 1b</w:t>
      </w:r>
    </w:p>
    <w:p w:rsidR="006B5BA7" w:rsidRPr="005E6FFC" w:rsidRDefault="006B5BA7" w:rsidP="006B5BA7">
      <w:pPr>
        <w:autoSpaceDE w:val="0"/>
        <w:autoSpaceDN w:val="0"/>
        <w:adjustRightInd w:val="0"/>
        <w:spacing w:after="100" w:afterAutospacing="1"/>
        <w:jc w:val="both"/>
        <w:rPr>
          <w:rFonts w:ascii="Arial" w:eastAsiaTheme="minorHAnsi" w:hAnsi="Arial" w:cs="Arial"/>
          <w:i/>
        </w:rPr>
      </w:pPr>
      <w:r w:rsidRPr="005E6FFC">
        <w:rPr>
          <w:rFonts w:ascii="Arial" w:eastAsiaTheme="minorHAnsi" w:hAnsi="Arial" w:cs="Arial"/>
          <w:i/>
        </w:rPr>
        <w:t xml:space="preserve">Zároveň prosím o sdělení, zda lze dle daňové správy v takovém plnění (tj. TP </w:t>
      </w:r>
      <w:proofErr w:type="spellStart"/>
      <w:r w:rsidRPr="005E6FFC">
        <w:rPr>
          <w:rFonts w:ascii="Arial" w:eastAsiaTheme="minorHAnsi" w:hAnsi="Arial" w:cs="Arial"/>
          <w:i/>
        </w:rPr>
        <w:t>adjustment</w:t>
      </w:r>
      <w:proofErr w:type="spellEnd"/>
      <w:r w:rsidRPr="005E6FFC">
        <w:rPr>
          <w:rFonts w:ascii="Arial" w:eastAsiaTheme="minorHAnsi" w:hAnsi="Arial" w:cs="Arial"/>
          <w:i/>
        </w:rPr>
        <w:t xml:space="preserve"> / úprava ziskovosti) za určitých okolností (pokud ano, tak za jakých) spatřovat službu „</w:t>
      </w:r>
      <w:r w:rsidRPr="005E6FFC">
        <w:rPr>
          <w:rFonts w:ascii="Arial" w:eastAsiaTheme="minorHAnsi" w:hAnsi="Arial" w:cs="Arial"/>
          <w:i/>
          <w:iCs/>
        </w:rPr>
        <w:t xml:space="preserve">zavázání se k </w:t>
      </w:r>
      <w:r w:rsidRPr="005E6FFC">
        <w:rPr>
          <w:rFonts w:ascii="Arial" w:eastAsiaTheme="minorHAnsi" w:hAnsi="Arial" w:cs="Arial"/>
          <w:i/>
        </w:rPr>
        <w:t xml:space="preserve">1 ROCE </w:t>
      </w:r>
      <w:r w:rsidRPr="005E6FFC">
        <w:rPr>
          <w:rFonts w:ascii="Cambria Math" w:eastAsiaTheme="minorHAnsi" w:hAnsi="Cambria Math" w:cs="Cambria Math"/>
          <w:i/>
        </w:rPr>
        <w:t>‐</w:t>
      </w:r>
      <w:r w:rsidRPr="005E6FFC">
        <w:rPr>
          <w:rFonts w:ascii="Arial" w:eastAsiaTheme="minorHAnsi" w:hAnsi="Arial" w:cs="Arial"/>
          <w:i/>
        </w:rPr>
        <w:t xml:space="preserve"> Return On </w:t>
      </w:r>
      <w:proofErr w:type="spellStart"/>
      <w:r w:rsidRPr="005E6FFC">
        <w:rPr>
          <w:rFonts w:ascii="Arial" w:eastAsiaTheme="minorHAnsi" w:hAnsi="Arial" w:cs="Arial"/>
          <w:i/>
        </w:rPr>
        <w:t>Capital</w:t>
      </w:r>
      <w:proofErr w:type="spellEnd"/>
      <w:r w:rsidRPr="005E6FFC">
        <w:rPr>
          <w:rFonts w:ascii="Arial" w:eastAsiaTheme="minorHAnsi" w:hAnsi="Arial" w:cs="Arial"/>
          <w:i/>
        </w:rPr>
        <w:t xml:space="preserve"> </w:t>
      </w:r>
      <w:proofErr w:type="spellStart"/>
      <w:r w:rsidRPr="005E6FFC">
        <w:rPr>
          <w:rFonts w:ascii="Arial" w:eastAsiaTheme="minorHAnsi" w:hAnsi="Arial" w:cs="Arial"/>
          <w:i/>
        </w:rPr>
        <w:t>Employed</w:t>
      </w:r>
      <w:proofErr w:type="spellEnd"/>
      <w:r w:rsidRPr="005E6FFC">
        <w:rPr>
          <w:rFonts w:ascii="Arial" w:eastAsiaTheme="minorHAnsi" w:hAnsi="Arial" w:cs="Arial"/>
          <w:i/>
        </w:rPr>
        <w:t xml:space="preserve"> (Rentabilita investovaného kapitálu), alternativně např. FCMU – Full </w:t>
      </w:r>
      <w:proofErr w:type="spellStart"/>
      <w:r w:rsidRPr="005E6FFC">
        <w:rPr>
          <w:rFonts w:ascii="Arial" w:eastAsiaTheme="minorHAnsi" w:hAnsi="Arial" w:cs="Arial"/>
          <w:i/>
        </w:rPr>
        <w:t>Cost</w:t>
      </w:r>
      <w:proofErr w:type="spellEnd"/>
      <w:r w:rsidRPr="005E6FFC">
        <w:rPr>
          <w:rFonts w:ascii="Arial" w:eastAsiaTheme="minorHAnsi" w:hAnsi="Arial" w:cs="Arial"/>
          <w:i/>
        </w:rPr>
        <w:t xml:space="preserve"> Mark</w:t>
      </w:r>
      <w:r w:rsidRPr="005E6FFC">
        <w:rPr>
          <w:rFonts w:ascii="Cambria Math" w:eastAsiaTheme="minorHAnsi" w:hAnsi="Cambria Math" w:cs="Cambria Math"/>
          <w:i/>
        </w:rPr>
        <w:t>‐</w:t>
      </w:r>
      <w:r w:rsidRPr="005E6FFC">
        <w:rPr>
          <w:rFonts w:ascii="Arial" w:eastAsiaTheme="minorHAnsi" w:hAnsi="Arial" w:cs="Arial"/>
          <w:i/>
        </w:rPr>
        <w:t xml:space="preserve">Up (přirážka k celkovým nákladům), či jiné relevantní ukazatele </w:t>
      </w:r>
      <w:r w:rsidRPr="005E6FFC">
        <w:rPr>
          <w:rFonts w:ascii="Arial" w:eastAsiaTheme="minorHAnsi" w:hAnsi="Arial" w:cs="Arial"/>
          <w:i/>
          <w:iCs/>
        </w:rPr>
        <w:t>povinnosti zdržet se určitého jednání nebo strpět určité jednání nebo situaci</w:t>
      </w:r>
      <w:r w:rsidRPr="005E6FFC">
        <w:rPr>
          <w:rFonts w:ascii="Arial" w:eastAsiaTheme="minorHAnsi" w:hAnsi="Arial" w:cs="Arial"/>
          <w:i/>
        </w:rPr>
        <w:t>“ v souladu s ustanovením § 14 odst. 1 písm. d) zákona č. 235/2004 Sb., v platném a účinném znění („</w:t>
      </w:r>
      <w:r w:rsidRPr="005E6FFC">
        <w:rPr>
          <w:rFonts w:ascii="Arial" w:eastAsiaTheme="minorHAnsi" w:hAnsi="Arial" w:cs="Arial"/>
          <w:b/>
          <w:bCs/>
          <w:i/>
        </w:rPr>
        <w:t>ZDPH</w:t>
      </w:r>
      <w:r w:rsidRPr="005E6FFC">
        <w:rPr>
          <w:rFonts w:ascii="Arial" w:eastAsiaTheme="minorHAnsi" w:hAnsi="Arial" w:cs="Arial"/>
          <w:i/>
        </w:rPr>
        <w:t xml:space="preserve">“), v případě, kdy smluvní výrobce dosáhne ROCE&lt;10%. Tuto službu by šlo interpretovat tak, že smluvní výrobce dosáhnul nižšího </w:t>
      </w:r>
      <w:proofErr w:type="gramStart"/>
      <w:r w:rsidRPr="005E6FFC">
        <w:rPr>
          <w:rFonts w:ascii="Arial" w:eastAsiaTheme="minorHAnsi" w:hAnsi="Arial" w:cs="Arial"/>
          <w:i/>
        </w:rPr>
        <w:t>ROCE</w:t>
      </w:r>
      <w:proofErr w:type="gramEnd"/>
      <w:r w:rsidRPr="005E6FFC">
        <w:rPr>
          <w:rFonts w:ascii="Arial" w:eastAsiaTheme="minorHAnsi" w:hAnsi="Arial" w:cs="Arial"/>
          <w:i/>
        </w:rPr>
        <w:t>, neboť se zavázal prodávat principálovi za nižší ceny, než za které by reáln</w:t>
      </w:r>
      <w:r>
        <w:rPr>
          <w:rFonts w:ascii="Arial" w:eastAsiaTheme="minorHAnsi" w:hAnsi="Arial" w:cs="Arial"/>
          <w:i/>
        </w:rPr>
        <w:t>ě prodával dané zboží na trhu s </w:t>
      </w:r>
      <w:r w:rsidRPr="005E6FFC">
        <w:rPr>
          <w:rFonts w:ascii="Arial" w:eastAsiaTheme="minorHAnsi" w:hAnsi="Arial" w:cs="Arial"/>
          <w:i/>
        </w:rPr>
        <w:t>nespřízněnými osobami. Alternativně, lze „dorovnání“ ze</w:t>
      </w:r>
      <w:r>
        <w:rPr>
          <w:rFonts w:ascii="Arial" w:eastAsiaTheme="minorHAnsi" w:hAnsi="Arial" w:cs="Arial"/>
          <w:i/>
        </w:rPr>
        <w:t xml:space="preserve"> strany principála považovat za </w:t>
      </w:r>
      <w:r w:rsidRPr="005E6FFC">
        <w:rPr>
          <w:rFonts w:ascii="Arial" w:eastAsiaTheme="minorHAnsi" w:hAnsi="Arial" w:cs="Arial"/>
          <w:i/>
        </w:rPr>
        <w:t xml:space="preserve">dotaci k ceně původně prodaného zboží v souladu s ustanovením § 36 odst. 3 písm. b) ZDPH. Pokud ano, v jakém okamžiku je smluvní výrobce povinen odvést DPH? V obou případech by zmiňovaný TP </w:t>
      </w:r>
      <w:proofErr w:type="spellStart"/>
      <w:r w:rsidRPr="005E6FFC">
        <w:rPr>
          <w:rFonts w:ascii="Arial" w:eastAsiaTheme="minorHAnsi" w:hAnsi="Arial" w:cs="Arial"/>
          <w:i/>
        </w:rPr>
        <w:t>adjustment</w:t>
      </w:r>
      <w:proofErr w:type="spellEnd"/>
      <w:r w:rsidRPr="005E6FFC">
        <w:rPr>
          <w:rFonts w:ascii="Arial" w:eastAsiaTheme="minorHAnsi" w:hAnsi="Arial" w:cs="Arial"/>
          <w:i/>
        </w:rPr>
        <w:t xml:space="preserve"> (neboli úprava ziskovosti) </w:t>
      </w:r>
      <w:r>
        <w:rPr>
          <w:rFonts w:ascii="Arial" w:eastAsiaTheme="minorHAnsi" w:hAnsi="Arial" w:cs="Arial"/>
          <w:i/>
        </w:rPr>
        <w:t xml:space="preserve">podléhal odvodu DPH </w:t>
      </w:r>
      <w:r>
        <w:rPr>
          <w:rFonts w:ascii="Arial" w:eastAsiaTheme="minorHAnsi" w:hAnsi="Arial" w:cs="Arial"/>
          <w:i/>
        </w:rPr>
        <w:lastRenderedPageBreak/>
        <w:t>ze </w:t>
      </w:r>
      <w:r w:rsidRPr="005E6FFC">
        <w:rPr>
          <w:rFonts w:ascii="Arial" w:eastAsiaTheme="minorHAnsi" w:hAnsi="Arial" w:cs="Arial"/>
          <w:i/>
        </w:rPr>
        <w:t xml:space="preserve">strany smluvního výrobce. Pokud by však smluvní výrobce dosáhnul ROCE&gt;10%, lze dle daňové správy „dorovnání“ ze strany smluvního výrobce ve prospěch principála považovat za úhradu za službu obecného charakteru poskytnutou principálem smluvnímu výrobci? Prakticky je možné, že výše uvedená „plnění“ (tj. služba zdržení se, dotace k ceně, nebo obecná služba ze strany principála) jsou takto definována ve smluvní dokumentaci mezi stranami. Ať už tomu tak bude, či nikoliv, lze konstatovat, že příjemce, kterému je účtována DPH, bude mít při splnění obecných náležitostí ZDPH nárok na odpočet takto účtované DPH? </w:t>
      </w:r>
    </w:p>
    <w:p w:rsidR="006B5BA7" w:rsidRPr="005E6FFC" w:rsidRDefault="006B5BA7" w:rsidP="006B5BA7">
      <w:pPr>
        <w:autoSpaceDE w:val="0"/>
        <w:autoSpaceDN w:val="0"/>
        <w:adjustRightInd w:val="0"/>
        <w:spacing w:after="100" w:afterAutospacing="1"/>
        <w:jc w:val="both"/>
        <w:rPr>
          <w:rFonts w:ascii="Arial" w:eastAsiaTheme="minorHAnsi" w:hAnsi="Arial" w:cs="Arial"/>
          <w:i/>
        </w:rPr>
      </w:pPr>
      <w:r w:rsidRPr="005E6FFC">
        <w:rPr>
          <w:rFonts w:ascii="Arial" w:eastAsiaTheme="minorHAnsi" w:hAnsi="Arial" w:cs="Arial"/>
          <w:i/>
        </w:rPr>
        <w:t>Dílčí otázka 1c</w:t>
      </w:r>
    </w:p>
    <w:p w:rsidR="006B5BA7" w:rsidRPr="005E6FFC" w:rsidRDefault="006B5BA7" w:rsidP="006B5BA7">
      <w:pPr>
        <w:autoSpaceDE w:val="0"/>
        <w:autoSpaceDN w:val="0"/>
        <w:adjustRightInd w:val="0"/>
        <w:spacing w:after="100" w:afterAutospacing="1"/>
        <w:jc w:val="both"/>
        <w:rPr>
          <w:rFonts w:ascii="Arial" w:eastAsiaTheme="minorHAnsi" w:hAnsi="Arial" w:cs="Arial"/>
          <w:i/>
        </w:rPr>
      </w:pPr>
      <w:r w:rsidRPr="005E6FFC">
        <w:rPr>
          <w:rFonts w:ascii="Arial" w:eastAsiaTheme="minorHAnsi" w:hAnsi="Arial" w:cs="Arial"/>
          <w:i/>
        </w:rPr>
        <w:t>Naopak, pokud by ve smluvní dokumentaci bylo stanoveno, že v případě dosažení ROCE ≠ 10% vystaví smluvní výrobce vrubopis (dosažené ROCE &lt; 10%), či dobropis (</w:t>
      </w:r>
      <w:proofErr w:type="gramStart"/>
      <w:r w:rsidRPr="005E6FFC">
        <w:rPr>
          <w:rFonts w:ascii="Arial" w:eastAsiaTheme="minorHAnsi" w:hAnsi="Arial" w:cs="Arial"/>
          <w:i/>
        </w:rPr>
        <w:t>dosažené</w:t>
      </w:r>
      <w:proofErr w:type="gramEnd"/>
      <w:r w:rsidRPr="005E6FFC">
        <w:rPr>
          <w:rFonts w:ascii="Arial" w:eastAsiaTheme="minorHAnsi" w:hAnsi="Arial" w:cs="Arial"/>
          <w:i/>
        </w:rPr>
        <w:t xml:space="preserve"> ROCE &gt; 10%), lze považovat dané „vyrovnání“ za úpravu ceny, ke které dojde po dni uskutečnění zdanitelného plnění (s důsledky vyplývajícími z ustanovením § 42 odst. 1 písm. b) ZDPH)? Je zřejmé, že daný opravný daňový doklad nemá vazbu na konkrétní plnění, nicméně na soubor plnění uskutečněný v určitém předem definovaném období.</w:t>
      </w:r>
    </w:p>
    <w:p w:rsidR="006B5BA7" w:rsidRPr="005E6FFC" w:rsidRDefault="006B5BA7" w:rsidP="006B5BA7">
      <w:pPr>
        <w:autoSpaceDE w:val="0"/>
        <w:autoSpaceDN w:val="0"/>
        <w:adjustRightInd w:val="0"/>
        <w:spacing w:after="100" w:afterAutospacing="1"/>
        <w:jc w:val="both"/>
        <w:rPr>
          <w:rFonts w:ascii="Arial" w:eastAsiaTheme="minorHAnsi" w:hAnsi="Arial" w:cs="Arial"/>
          <w:i/>
        </w:rPr>
      </w:pPr>
      <w:r w:rsidRPr="005E6FFC">
        <w:rPr>
          <w:rFonts w:ascii="Arial" w:eastAsiaTheme="minorHAnsi" w:hAnsi="Arial" w:cs="Arial"/>
          <w:i/>
        </w:rPr>
        <w:t>2. Výrobce s omezenými riziky (anglicky „</w:t>
      </w:r>
      <w:r w:rsidRPr="005E6FFC">
        <w:rPr>
          <w:rFonts w:ascii="Arial" w:eastAsiaTheme="minorHAnsi" w:hAnsi="Arial" w:cs="Arial"/>
          <w:i/>
          <w:iCs/>
        </w:rPr>
        <w:t>limited risk distributor</w:t>
      </w:r>
      <w:r w:rsidRPr="005E6FFC">
        <w:rPr>
          <w:rFonts w:ascii="Arial" w:eastAsiaTheme="minorHAnsi" w:hAnsi="Arial" w:cs="Arial"/>
          <w:i/>
        </w:rPr>
        <w:t>“) vyrábí zboží, které prodává přímo OEM výrobci (anglicky „</w:t>
      </w:r>
      <w:proofErr w:type="spellStart"/>
      <w:r w:rsidRPr="005E6FFC">
        <w:rPr>
          <w:rFonts w:ascii="Arial" w:eastAsiaTheme="minorHAnsi" w:hAnsi="Arial" w:cs="Arial"/>
          <w:i/>
        </w:rPr>
        <w:t>o</w:t>
      </w:r>
      <w:r w:rsidRPr="005E6FFC">
        <w:rPr>
          <w:rFonts w:ascii="Arial" w:eastAsiaTheme="minorHAnsi" w:hAnsi="Arial" w:cs="Arial"/>
          <w:i/>
          <w:iCs/>
        </w:rPr>
        <w:t>riginal</w:t>
      </w:r>
      <w:proofErr w:type="spellEnd"/>
      <w:r w:rsidRPr="005E6FFC">
        <w:rPr>
          <w:rFonts w:ascii="Arial" w:eastAsiaTheme="minorHAnsi" w:hAnsi="Arial" w:cs="Arial"/>
          <w:i/>
          <w:iCs/>
        </w:rPr>
        <w:t xml:space="preserve"> </w:t>
      </w:r>
      <w:proofErr w:type="spellStart"/>
      <w:r w:rsidRPr="005E6FFC">
        <w:rPr>
          <w:rFonts w:ascii="Arial" w:eastAsiaTheme="minorHAnsi" w:hAnsi="Arial" w:cs="Arial"/>
          <w:i/>
          <w:iCs/>
        </w:rPr>
        <w:t>equipment</w:t>
      </w:r>
      <w:proofErr w:type="spellEnd"/>
      <w:r w:rsidRPr="005E6FFC">
        <w:rPr>
          <w:rFonts w:ascii="Arial" w:eastAsiaTheme="minorHAnsi" w:hAnsi="Arial" w:cs="Arial"/>
          <w:i/>
          <w:iCs/>
        </w:rPr>
        <w:t xml:space="preserve"> </w:t>
      </w:r>
      <w:proofErr w:type="spellStart"/>
      <w:r w:rsidRPr="005E6FFC">
        <w:rPr>
          <w:rFonts w:ascii="Arial" w:eastAsiaTheme="minorHAnsi" w:hAnsi="Arial" w:cs="Arial"/>
          <w:i/>
          <w:iCs/>
        </w:rPr>
        <w:t>manufacturer</w:t>
      </w:r>
      <w:proofErr w:type="spellEnd"/>
      <w:r w:rsidRPr="005E6FFC">
        <w:rPr>
          <w:rFonts w:ascii="Arial" w:eastAsiaTheme="minorHAnsi" w:hAnsi="Arial" w:cs="Arial"/>
          <w:i/>
        </w:rPr>
        <w:t xml:space="preserve">“). Třetí subjekt </w:t>
      </w:r>
      <w:r w:rsidRPr="005E6FFC">
        <w:rPr>
          <w:rFonts w:ascii="Cambria Math" w:eastAsiaTheme="minorHAnsi" w:hAnsi="Cambria Math" w:cs="Cambria Math"/>
          <w:i/>
        </w:rPr>
        <w:t>‐</w:t>
      </w:r>
      <w:r w:rsidRPr="005E6FFC">
        <w:rPr>
          <w:rFonts w:ascii="Arial" w:eastAsiaTheme="minorHAnsi" w:hAnsi="Arial" w:cs="Arial"/>
          <w:i/>
        </w:rPr>
        <w:t xml:space="preserve"> principál </w:t>
      </w:r>
      <w:r w:rsidRPr="005E6FFC">
        <w:rPr>
          <w:rFonts w:ascii="Cambria Math" w:eastAsiaTheme="minorHAnsi" w:hAnsi="Cambria Math" w:cs="Cambria Math"/>
          <w:i/>
        </w:rPr>
        <w:t>‐</w:t>
      </w:r>
      <w:r w:rsidRPr="005E6FFC">
        <w:rPr>
          <w:rFonts w:ascii="Arial" w:eastAsiaTheme="minorHAnsi" w:hAnsi="Arial" w:cs="Arial"/>
          <w:i/>
        </w:rPr>
        <w:t xml:space="preserve"> řídí strategii skupiny, marketing a vyjednává smlouvy s OEM výrobci, které stanoví, za kolik bude výrobce s omezenými riziky prodávat své zbož</w:t>
      </w:r>
      <w:r>
        <w:rPr>
          <w:rFonts w:ascii="Arial" w:eastAsiaTheme="minorHAnsi" w:hAnsi="Arial" w:cs="Arial"/>
          <w:i/>
        </w:rPr>
        <w:t>í OEM výrobcům. Mezi výrobcem s </w:t>
      </w:r>
      <w:r w:rsidRPr="005E6FFC">
        <w:rPr>
          <w:rFonts w:ascii="Arial" w:eastAsiaTheme="minorHAnsi" w:hAnsi="Arial" w:cs="Arial"/>
          <w:i/>
        </w:rPr>
        <w:t xml:space="preserve">omezenými riziky a principálem můžou být však fakturovány služby typu management </w:t>
      </w:r>
      <w:proofErr w:type="spellStart"/>
      <w:r w:rsidRPr="005E6FFC">
        <w:rPr>
          <w:rFonts w:ascii="Arial" w:eastAsiaTheme="minorHAnsi" w:hAnsi="Arial" w:cs="Arial"/>
          <w:i/>
        </w:rPr>
        <w:t>fees</w:t>
      </w:r>
      <w:proofErr w:type="spellEnd"/>
      <w:r w:rsidRPr="005E6FFC">
        <w:rPr>
          <w:rFonts w:ascii="Arial" w:eastAsiaTheme="minorHAnsi" w:hAnsi="Arial" w:cs="Arial"/>
          <w:i/>
        </w:rPr>
        <w:t xml:space="preserve"> či jiná obdobná plnění, která však nejsou předmětem TP </w:t>
      </w:r>
      <w:proofErr w:type="spellStart"/>
      <w:r w:rsidRPr="005E6FFC">
        <w:rPr>
          <w:rFonts w:ascii="Arial" w:eastAsiaTheme="minorHAnsi" w:hAnsi="Arial" w:cs="Arial"/>
          <w:i/>
        </w:rPr>
        <w:t>adjustmentu</w:t>
      </w:r>
      <w:proofErr w:type="spellEnd"/>
      <w:r w:rsidRPr="005E6FFC">
        <w:rPr>
          <w:rFonts w:ascii="Arial" w:eastAsiaTheme="minorHAnsi" w:hAnsi="Arial" w:cs="Arial"/>
          <w:i/>
        </w:rPr>
        <w:t xml:space="preserve">. Dle skupinové TP dokumentace náleží výrobci s omezenými riziky za jeho činnost pouze rutinní výše ziskovosti, kdežto principálovi náleží reziduální zisk. Na konci kalendářního, či fiskálního roku je proveden TP </w:t>
      </w:r>
      <w:proofErr w:type="spellStart"/>
      <w:r w:rsidRPr="005E6FFC">
        <w:rPr>
          <w:rFonts w:ascii="Arial" w:eastAsiaTheme="minorHAnsi" w:hAnsi="Arial" w:cs="Arial"/>
          <w:i/>
        </w:rPr>
        <w:t>adjustment</w:t>
      </w:r>
      <w:proofErr w:type="spellEnd"/>
      <w:r w:rsidRPr="005E6FFC">
        <w:rPr>
          <w:rFonts w:ascii="Arial" w:eastAsiaTheme="minorHAnsi" w:hAnsi="Arial" w:cs="Arial"/>
          <w:i/>
        </w:rPr>
        <w:t xml:space="preserve"> tak, aby byl výrobce s omezenými riziky odměněn za své aktivity formou ziskovosti na úrovni </w:t>
      </w:r>
      <w:proofErr w:type="gramStart"/>
      <w:r w:rsidRPr="005E6FFC">
        <w:rPr>
          <w:rFonts w:ascii="Arial" w:eastAsiaTheme="minorHAnsi" w:hAnsi="Arial" w:cs="Arial"/>
          <w:i/>
        </w:rPr>
        <w:t>ROCE</w:t>
      </w:r>
      <w:proofErr w:type="gramEnd"/>
      <w:r w:rsidRPr="005E6FFC">
        <w:rPr>
          <w:rFonts w:ascii="Arial" w:eastAsiaTheme="minorHAnsi" w:hAnsi="Arial" w:cs="Arial"/>
          <w:i/>
        </w:rPr>
        <w:t xml:space="preserve"> 10%. Úprava tak může probíhat oběma směry. Mezi výrobcem s omezenými riziky a principálem neprobíhá žádný prodej výrobků, nelze tedy vysledovat přímý a bezprostřední vztah mezi TP </w:t>
      </w:r>
      <w:proofErr w:type="spellStart"/>
      <w:r w:rsidRPr="005E6FFC">
        <w:rPr>
          <w:rFonts w:ascii="Arial" w:eastAsiaTheme="minorHAnsi" w:hAnsi="Arial" w:cs="Arial"/>
          <w:i/>
        </w:rPr>
        <w:t>adjustmentem</w:t>
      </w:r>
      <w:proofErr w:type="spellEnd"/>
      <w:r w:rsidRPr="005E6FFC">
        <w:rPr>
          <w:rFonts w:ascii="Arial" w:eastAsiaTheme="minorHAnsi" w:hAnsi="Arial" w:cs="Arial"/>
          <w:i/>
        </w:rPr>
        <w:t xml:space="preserve"> a určitým plněním, stejně tak nelze vysledovat ani nepřímý vztah, neboť žádná přiřaditelná plnění mezi oběma stranami nejsou poskytována (kromě zmiňovaných služeb typu management </w:t>
      </w:r>
      <w:proofErr w:type="spellStart"/>
      <w:r w:rsidRPr="005E6FFC">
        <w:rPr>
          <w:rFonts w:ascii="Arial" w:eastAsiaTheme="minorHAnsi" w:hAnsi="Arial" w:cs="Arial"/>
          <w:i/>
        </w:rPr>
        <w:t>fees</w:t>
      </w:r>
      <w:proofErr w:type="spellEnd"/>
      <w:r w:rsidRPr="005E6FFC">
        <w:rPr>
          <w:rFonts w:ascii="Arial" w:eastAsiaTheme="minorHAnsi" w:hAnsi="Arial" w:cs="Arial"/>
          <w:i/>
        </w:rPr>
        <w:t>).</w:t>
      </w:r>
    </w:p>
    <w:p w:rsidR="006B5BA7" w:rsidRPr="005E6FFC" w:rsidRDefault="006B5BA7" w:rsidP="006B5BA7">
      <w:pPr>
        <w:autoSpaceDE w:val="0"/>
        <w:autoSpaceDN w:val="0"/>
        <w:adjustRightInd w:val="0"/>
        <w:spacing w:after="100" w:afterAutospacing="1"/>
        <w:jc w:val="both"/>
        <w:rPr>
          <w:rFonts w:ascii="Arial" w:eastAsiaTheme="minorHAnsi" w:hAnsi="Arial" w:cs="Arial"/>
          <w:i/>
        </w:rPr>
      </w:pPr>
      <w:r w:rsidRPr="005E6FFC">
        <w:rPr>
          <w:rFonts w:ascii="Arial" w:eastAsiaTheme="minorHAnsi" w:hAnsi="Arial" w:cs="Arial"/>
          <w:i/>
        </w:rPr>
        <w:t>Dílčí otázka 2a</w:t>
      </w:r>
    </w:p>
    <w:p w:rsidR="006B5BA7" w:rsidRPr="005E6FFC" w:rsidRDefault="006B5BA7" w:rsidP="006B5BA7">
      <w:pPr>
        <w:autoSpaceDE w:val="0"/>
        <w:autoSpaceDN w:val="0"/>
        <w:adjustRightInd w:val="0"/>
        <w:spacing w:after="100" w:afterAutospacing="1"/>
        <w:jc w:val="both"/>
        <w:rPr>
          <w:rFonts w:ascii="Arial" w:eastAsiaTheme="minorHAnsi" w:hAnsi="Arial" w:cs="Arial"/>
          <w:i/>
        </w:rPr>
      </w:pPr>
      <w:r w:rsidRPr="005E6FFC">
        <w:rPr>
          <w:rFonts w:ascii="Arial" w:eastAsiaTheme="minorHAnsi" w:hAnsi="Arial" w:cs="Arial"/>
          <w:i/>
        </w:rPr>
        <w:t xml:space="preserve">Prosím o vyjádření, zda daňová správa v takovém případě považuje TP </w:t>
      </w:r>
      <w:proofErr w:type="spellStart"/>
      <w:r w:rsidRPr="005E6FFC">
        <w:rPr>
          <w:rFonts w:ascii="Arial" w:eastAsiaTheme="minorHAnsi" w:hAnsi="Arial" w:cs="Arial"/>
          <w:i/>
        </w:rPr>
        <w:t>adjustment</w:t>
      </w:r>
      <w:proofErr w:type="spellEnd"/>
      <w:r w:rsidRPr="005E6FFC">
        <w:rPr>
          <w:rFonts w:ascii="Arial" w:eastAsiaTheme="minorHAnsi" w:hAnsi="Arial" w:cs="Arial"/>
          <w:i/>
        </w:rPr>
        <w:t xml:space="preserve"> za plnění </w:t>
      </w:r>
      <w:r w:rsidRPr="005E6FFC">
        <w:rPr>
          <w:rFonts w:ascii="Arial" w:eastAsiaTheme="minorHAnsi" w:hAnsi="Arial" w:cs="Arial"/>
          <w:b/>
          <w:bCs/>
          <w:i/>
        </w:rPr>
        <w:t>mimo předmět DPH</w:t>
      </w:r>
      <w:r w:rsidRPr="005E6FFC">
        <w:rPr>
          <w:rFonts w:ascii="Arial" w:eastAsiaTheme="minorHAnsi" w:hAnsi="Arial" w:cs="Arial"/>
          <w:i/>
        </w:rPr>
        <w:t xml:space="preserve">, případně, zda lze pomocí některé argumentace uvedené pod bodem 1 výše najít bázi proto, aby daný TP </w:t>
      </w:r>
      <w:proofErr w:type="spellStart"/>
      <w:r w:rsidRPr="005E6FFC">
        <w:rPr>
          <w:rFonts w:ascii="Arial" w:eastAsiaTheme="minorHAnsi" w:hAnsi="Arial" w:cs="Arial"/>
          <w:i/>
        </w:rPr>
        <w:t>adjustment</w:t>
      </w:r>
      <w:proofErr w:type="spellEnd"/>
      <w:r w:rsidRPr="005E6FFC">
        <w:rPr>
          <w:rFonts w:ascii="Arial" w:eastAsiaTheme="minorHAnsi" w:hAnsi="Arial" w:cs="Arial"/>
          <w:i/>
        </w:rPr>
        <w:t xml:space="preserve"> byl považován za předmět DPH (pokud ano, jaká argumentace je relevantní?).</w:t>
      </w:r>
    </w:p>
    <w:p w:rsidR="006B5BA7" w:rsidRPr="005E6FFC" w:rsidRDefault="006B5BA7" w:rsidP="006B5BA7">
      <w:pPr>
        <w:autoSpaceDE w:val="0"/>
        <w:autoSpaceDN w:val="0"/>
        <w:adjustRightInd w:val="0"/>
        <w:spacing w:after="100" w:afterAutospacing="1"/>
        <w:jc w:val="both"/>
        <w:rPr>
          <w:rFonts w:ascii="Arial" w:eastAsiaTheme="minorHAnsi" w:hAnsi="Arial" w:cs="Arial"/>
          <w:i/>
        </w:rPr>
      </w:pPr>
      <w:r w:rsidRPr="005E6FFC">
        <w:rPr>
          <w:rFonts w:ascii="Arial" w:eastAsiaTheme="minorHAnsi" w:hAnsi="Arial" w:cs="Arial"/>
          <w:i/>
        </w:rPr>
        <w:t>3. Distributor s omezenými riziky (anglicky „</w:t>
      </w:r>
      <w:r w:rsidRPr="005E6FFC">
        <w:rPr>
          <w:rFonts w:ascii="Arial" w:eastAsiaTheme="minorHAnsi" w:hAnsi="Arial" w:cs="Arial"/>
          <w:i/>
          <w:iCs/>
        </w:rPr>
        <w:t>limited risk distributor</w:t>
      </w:r>
      <w:r w:rsidRPr="005E6FFC">
        <w:rPr>
          <w:rFonts w:ascii="Arial" w:eastAsiaTheme="minorHAnsi" w:hAnsi="Arial" w:cs="Arial"/>
          <w:i/>
        </w:rPr>
        <w:t>“) nakupuje výrobky od</w:t>
      </w:r>
      <w:r>
        <w:rPr>
          <w:rFonts w:ascii="Arial" w:eastAsiaTheme="minorHAnsi" w:hAnsi="Arial" w:cs="Arial"/>
          <w:i/>
        </w:rPr>
        <w:t> </w:t>
      </w:r>
      <w:r w:rsidRPr="005E6FFC">
        <w:rPr>
          <w:rFonts w:ascii="Arial" w:eastAsiaTheme="minorHAnsi" w:hAnsi="Arial" w:cs="Arial"/>
          <w:i/>
        </w:rPr>
        <w:t>dodavatele (anglicky „</w:t>
      </w:r>
      <w:r w:rsidRPr="005E6FFC">
        <w:rPr>
          <w:rFonts w:ascii="Arial" w:eastAsiaTheme="minorHAnsi" w:hAnsi="Arial" w:cs="Arial"/>
          <w:i/>
          <w:iCs/>
        </w:rPr>
        <w:t>Hub</w:t>
      </w:r>
      <w:r w:rsidRPr="005E6FFC">
        <w:rPr>
          <w:rFonts w:ascii="Arial" w:eastAsiaTheme="minorHAnsi" w:hAnsi="Arial" w:cs="Arial"/>
          <w:i/>
        </w:rPr>
        <w:t xml:space="preserve">“) a následně je prodává zákazníkům. Čtvrtý subjekt </w:t>
      </w:r>
      <w:r w:rsidRPr="005E6FFC">
        <w:rPr>
          <w:rFonts w:ascii="Cambria Math" w:eastAsiaTheme="minorHAnsi" w:hAnsi="Cambria Math" w:cs="Cambria Math"/>
          <w:i/>
        </w:rPr>
        <w:t>‐</w:t>
      </w:r>
      <w:r w:rsidRPr="005E6FFC">
        <w:rPr>
          <w:rFonts w:ascii="Arial" w:eastAsiaTheme="minorHAnsi" w:hAnsi="Arial" w:cs="Arial"/>
          <w:i/>
        </w:rPr>
        <w:t xml:space="preserve"> principál </w:t>
      </w:r>
      <w:r w:rsidRPr="005E6FFC">
        <w:rPr>
          <w:rFonts w:ascii="Cambria Math" w:eastAsiaTheme="minorHAnsi" w:hAnsi="Cambria Math" w:cs="Cambria Math"/>
          <w:i/>
        </w:rPr>
        <w:t>‐</w:t>
      </w:r>
      <w:r w:rsidRPr="005E6FFC">
        <w:rPr>
          <w:rFonts w:ascii="Arial" w:eastAsiaTheme="minorHAnsi" w:hAnsi="Arial" w:cs="Arial"/>
          <w:i/>
        </w:rPr>
        <w:t xml:space="preserve"> řídí strategii skupiny, marketing a vyjednává smlouvy se zákazníky, které stanoví, za kolik bude distributor s omezenými riziky prodávat zboží nakoupené od dodavatele těmto zákazníkům. Dle skupinové TP dokumentace náleží distributorovi s omezenými riziky rutinní výše ziskovosti, dodavateli náleží odměna za vynaložené náklady a určit</w:t>
      </w:r>
      <w:r>
        <w:rPr>
          <w:rFonts w:ascii="Arial" w:eastAsiaTheme="minorHAnsi" w:hAnsi="Arial" w:cs="Arial"/>
          <w:i/>
        </w:rPr>
        <w:t>ý (rutinní) zisk za </w:t>
      </w:r>
      <w:r w:rsidRPr="005E6FFC">
        <w:rPr>
          <w:rFonts w:ascii="Arial" w:eastAsiaTheme="minorHAnsi" w:hAnsi="Arial" w:cs="Arial"/>
          <w:i/>
        </w:rPr>
        <w:t xml:space="preserve">administraci prodeje, principálovi náleží reziduální zisk. Na konci kalendářního, či fiskálního roku je proveden prostřednictvím dodavatele TP </w:t>
      </w:r>
      <w:proofErr w:type="spellStart"/>
      <w:r w:rsidRPr="005E6FFC">
        <w:rPr>
          <w:rFonts w:ascii="Arial" w:eastAsiaTheme="minorHAnsi" w:hAnsi="Arial" w:cs="Arial"/>
          <w:i/>
        </w:rPr>
        <w:t>adjustment</w:t>
      </w:r>
      <w:proofErr w:type="spellEnd"/>
      <w:r w:rsidRPr="005E6FFC">
        <w:rPr>
          <w:rFonts w:ascii="Arial" w:eastAsiaTheme="minorHAnsi" w:hAnsi="Arial" w:cs="Arial"/>
          <w:i/>
        </w:rPr>
        <w:t xml:space="preserve"> / úprava ziskovosti </w:t>
      </w:r>
      <w:r w:rsidRPr="005E6FFC">
        <w:rPr>
          <w:rFonts w:ascii="Arial" w:eastAsiaTheme="minorHAnsi" w:hAnsi="Arial" w:cs="Arial"/>
          <w:i/>
        </w:rPr>
        <w:lastRenderedPageBreak/>
        <w:t xml:space="preserve">tak, aby byl distributor s omezenými riziky odměněn za své služby ziskovostí na úrovni ROS2 10%. Úprava tak může probíhat oběma směry. Mezi distributorem s omezenými riziky a principálem probíhal prodej výrobků, je však diskutabilní, zda lze vysledovat přímý a bezprostřední vztah mezi TP </w:t>
      </w:r>
      <w:proofErr w:type="spellStart"/>
      <w:r w:rsidRPr="005E6FFC">
        <w:rPr>
          <w:rFonts w:ascii="Arial" w:eastAsiaTheme="minorHAnsi" w:hAnsi="Arial" w:cs="Arial"/>
          <w:i/>
        </w:rPr>
        <w:t>adjustmentem</w:t>
      </w:r>
      <w:proofErr w:type="spellEnd"/>
      <w:r w:rsidRPr="005E6FFC">
        <w:rPr>
          <w:rFonts w:ascii="Arial" w:eastAsiaTheme="minorHAnsi" w:hAnsi="Arial" w:cs="Arial"/>
          <w:i/>
        </w:rPr>
        <w:t xml:space="preserve"> a původními nákupy zboží. Je rovněž diskutabilní, zda lze najít nepřímý vztah na původně zakoupené zboží.</w:t>
      </w:r>
    </w:p>
    <w:p w:rsidR="006B5BA7" w:rsidRPr="005E6FFC" w:rsidRDefault="006B5BA7" w:rsidP="006B5BA7">
      <w:pPr>
        <w:autoSpaceDE w:val="0"/>
        <w:autoSpaceDN w:val="0"/>
        <w:adjustRightInd w:val="0"/>
        <w:spacing w:after="100" w:afterAutospacing="1"/>
        <w:jc w:val="both"/>
        <w:rPr>
          <w:rFonts w:ascii="Arial" w:eastAsiaTheme="minorHAnsi" w:hAnsi="Arial" w:cs="Arial"/>
          <w:i/>
        </w:rPr>
      </w:pPr>
      <w:r w:rsidRPr="005E6FFC">
        <w:rPr>
          <w:rFonts w:ascii="Arial" w:eastAsiaTheme="minorHAnsi" w:hAnsi="Arial" w:cs="Arial"/>
          <w:i/>
        </w:rPr>
        <w:t>Dílčí otázka 3a</w:t>
      </w:r>
    </w:p>
    <w:p w:rsidR="006B5BA7" w:rsidRDefault="006B5BA7" w:rsidP="006B5BA7">
      <w:pPr>
        <w:pStyle w:val="Default"/>
        <w:spacing w:after="100" w:afterAutospacing="1"/>
        <w:jc w:val="both"/>
        <w:rPr>
          <w:rFonts w:ascii="Arial" w:eastAsiaTheme="minorHAnsi" w:hAnsi="Arial" w:cs="Arial"/>
          <w:i/>
        </w:rPr>
      </w:pPr>
      <w:r w:rsidRPr="005E6FFC">
        <w:rPr>
          <w:rFonts w:ascii="Arial" w:eastAsiaTheme="minorHAnsi" w:hAnsi="Arial" w:cs="Arial"/>
          <w:i/>
        </w:rPr>
        <w:t xml:space="preserve">Prosím o vyjádření, zda daňová správa v takovém případě považuje TP </w:t>
      </w:r>
      <w:proofErr w:type="spellStart"/>
      <w:r w:rsidRPr="005E6FFC">
        <w:rPr>
          <w:rFonts w:ascii="Arial" w:eastAsiaTheme="minorHAnsi" w:hAnsi="Arial" w:cs="Arial"/>
          <w:i/>
        </w:rPr>
        <w:t>adjustment</w:t>
      </w:r>
      <w:proofErr w:type="spellEnd"/>
      <w:r w:rsidRPr="005E6FFC">
        <w:rPr>
          <w:rFonts w:ascii="Arial" w:eastAsiaTheme="minorHAnsi" w:hAnsi="Arial" w:cs="Arial"/>
          <w:i/>
        </w:rPr>
        <w:t xml:space="preserve"> za plnění </w:t>
      </w:r>
      <w:r w:rsidRPr="005E6FFC">
        <w:rPr>
          <w:rFonts w:ascii="Arial" w:eastAsiaTheme="minorHAnsi" w:hAnsi="Arial" w:cs="Arial"/>
          <w:b/>
          <w:bCs/>
          <w:i/>
        </w:rPr>
        <w:t>mimo předmět DPH</w:t>
      </w:r>
      <w:r w:rsidRPr="005E6FFC">
        <w:rPr>
          <w:rFonts w:ascii="Arial" w:eastAsiaTheme="minorHAnsi" w:hAnsi="Arial" w:cs="Arial"/>
          <w:i/>
        </w:rPr>
        <w:t xml:space="preserve">, případně, zda lze pomocí některé argumentace uvedené pod bodem 1 výše najít bázi proto, aby daný TP </w:t>
      </w:r>
      <w:proofErr w:type="spellStart"/>
      <w:r w:rsidRPr="005E6FFC">
        <w:rPr>
          <w:rFonts w:ascii="Arial" w:eastAsiaTheme="minorHAnsi" w:hAnsi="Arial" w:cs="Arial"/>
          <w:i/>
        </w:rPr>
        <w:t>adjustment</w:t>
      </w:r>
      <w:proofErr w:type="spellEnd"/>
      <w:r w:rsidRPr="005E6FFC">
        <w:rPr>
          <w:rFonts w:ascii="Arial" w:eastAsiaTheme="minorHAnsi" w:hAnsi="Arial" w:cs="Arial"/>
          <w:i/>
        </w:rPr>
        <w:t xml:space="preserve"> byl považován za předmět DPH (pokud ano, jaká argumentace je relevantní?).</w:t>
      </w:r>
    </w:p>
    <w:p w:rsidR="006B5BA7" w:rsidRDefault="006B5BA7" w:rsidP="006B5BA7">
      <w:pPr>
        <w:pStyle w:val="Default"/>
        <w:spacing w:after="100" w:afterAutospacing="1"/>
        <w:jc w:val="both"/>
      </w:pPr>
      <w:r w:rsidRPr="00F2075A">
        <w:rPr>
          <w:rFonts w:ascii="Arial" w:hAnsi="Arial" w:cs="Arial"/>
          <w:b/>
          <w:sz w:val="22"/>
          <w:szCs w:val="22"/>
          <w:u w:val="single"/>
        </w:rPr>
        <w:t>Odpověď:</w:t>
      </w:r>
      <w:r w:rsidRPr="00CF472E">
        <w:t xml:space="preserve"> </w:t>
      </w:r>
    </w:p>
    <w:p w:rsidR="0045672E" w:rsidRDefault="006B5BA7" w:rsidP="006B5BA7">
      <w:pPr>
        <w:spacing w:after="100" w:afterAutospacing="1"/>
        <w:jc w:val="both"/>
      </w:pPr>
      <w:r>
        <w:rPr>
          <w:rFonts w:ascii="Arial" w:hAnsi="Arial" w:cs="Arial"/>
          <w:lang w:eastAsia="cs-CZ"/>
        </w:rPr>
        <w:t>N</w:t>
      </w:r>
      <w:r>
        <w:rPr>
          <w:rFonts w:ascii="Arial" w:hAnsi="Arial" w:cs="Arial"/>
          <w:lang w:eastAsia="cs-CZ"/>
        </w:rPr>
        <w:t>a internetových stránkách Finanční správy ČR naleznet</w:t>
      </w:r>
      <w:r>
        <w:rPr>
          <w:rFonts w:ascii="Arial" w:hAnsi="Arial" w:cs="Arial"/>
          <w:lang w:eastAsia="cs-CZ"/>
        </w:rPr>
        <w:t>e informaci k uplatňování DPH u </w:t>
      </w:r>
      <w:r>
        <w:rPr>
          <w:rFonts w:ascii="Arial" w:hAnsi="Arial" w:cs="Arial"/>
          <w:lang w:eastAsia="cs-CZ"/>
        </w:rPr>
        <w:t xml:space="preserve">skont a bonusů, přímý odkaz: </w:t>
      </w:r>
      <w:hyperlink r:id="rId5" w:history="1">
        <w:r w:rsidRPr="005E6FFC">
          <w:rPr>
            <w:rStyle w:val="Hypertextovodkaz"/>
            <w:rFonts w:ascii="Arial" w:hAnsi="Arial" w:cs="Arial"/>
          </w:rPr>
          <w:t>http://www.financnisprava.cz/cs/dane/dane/dan-z-pridane-hodnoty/informace-stanoviska-a-sdeleni/ruzne/2011/informace-gfr-k-uplatnovani-dph-u-tzv-2129</w:t>
        </w:r>
      </w:hyperlink>
      <w:r w:rsidRPr="005E6FFC">
        <w:rPr>
          <w:rFonts w:ascii="Arial" w:hAnsi="Arial" w:cs="Arial"/>
        </w:rPr>
        <w:t>.</w:t>
      </w:r>
    </w:p>
    <w:sectPr w:rsidR="0045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A7"/>
    <w:rsid w:val="003428A3"/>
    <w:rsid w:val="006B5BA7"/>
    <w:rsid w:val="00930D15"/>
    <w:rsid w:val="00DE329A"/>
    <w:rsid w:val="00F32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5BA7"/>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B5BA7"/>
    <w:pPr>
      <w:autoSpaceDE w:val="0"/>
      <w:autoSpaceDN w:val="0"/>
      <w:adjustRightInd w:val="0"/>
      <w:spacing w:after="0" w:line="240" w:lineRule="auto"/>
    </w:pPr>
    <w:rPr>
      <w:rFonts w:ascii="Tahoma" w:eastAsia="Calibri" w:hAnsi="Tahoma" w:cs="Tahoma"/>
      <w:color w:val="000000"/>
      <w:sz w:val="24"/>
      <w:szCs w:val="24"/>
      <w:lang w:eastAsia="cs-CZ"/>
    </w:rPr>
  </w:style>
  <w:style w:type="paragraph" w:styleId="Normlnweb">
    <w:name w:val="Normal (Web)"/>
    <w:basedOn w:val="Normln"/>
    <w:uiPriority w:val="99"/>
    <w:semiHidden/>
    <w:unhideWhenUsed/>
    <w:rsid w:val="006B5BA7"/>
    <w:pPr>
      <w:spacing w:before="100" w:beforeAutospacing="1" w:after="100" w:afterAutospacing="1" w:line="240" w:lineRule="auto"/>
    </w:pPr>
    <w:rPr>
      <w:rFonts w:ascii="Times New Roman" w:eastAsiaTheme="minorHAnsi" w:hAnsi="Times New Roman"/>
      <w:sz w:val="24"/>
      <w:szCs w:val="24"/>
      <w:lang w:eastAsia="cs-CZ"/>
    </w:rPr>
  </w:style>
  <w:style w:type="paragraph" w:styleId="Zhlav">
    <w:name w:val="header"/>
    <w:basedOn w:val="Normln"/>
    <w:link w:val="ZhlavChar"/>
    <w:uiPriority w:val="99"/>
    <w:rsid w:val="006B5BA7"/>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rsid w:val="006B5BA7"/>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B5B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5BA7"/>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B5BA7"/>
    <w:pPr>
      <w:autoSpaceDE w:val="0"/>
      <w:autoSpaceDN w:val="0"/>
      <w:adjustRightInd w:val="0"/>
      <w:spacing w:after="0" w:line="240" w:lineRule="auto"/>
    </w:pPr>
    <w:rPr>
      <w:rFonts w:ascii="Tahoma" w:eastAsia="Calibri" w:hAnsi="Tahoma" w:cs="Tahoma"/>
      <w:color w:val="000000"/>
      <w:sz w:val="24"/>
      <w:szCs w:val="24"/>
      <w:lang w:eastAsia="cs-CZ"/>
    </w:rPr>
  </w:style>
  <w:style w:type="paragraph" w:styleId="Normlnweb">
    <w:name w:val="Normal (Web)"/>
    <w:basedOn w:val="Normln"/>
    <w:uiPriority w:val="99"/>
    <w:semiHidden/>
    <w:unhideWhenUsed/>
    <w:rsid w:val="006B5BA7"/>
    <w:pPr>
      <w:spacing w:before="100" w:beforeAutospacing="1" w:after="100" w:afterAutospacing="1" w:line="240" w:lineRule="auto"/>
    </w:pPr>
    <w:rPr>
      <w:rFonts w:ascii="Times New Roman" w:eastAsiaTheme="minorHAnsi" w:hAnsi="Times New Roman"/>
      <w:sz w:val="24"/>
      <w:szCs w:val="24"/>
      <w:lang w:eastAsia="cs-CZ"/>
    </w:rPr>
  </w:style>
  <w:style w:type="paragraph" w:styleId="Zhlav">
    <w:name w:val="header"/>
    <w:basedOn w:val="Normln"/>
    <w:link w:val="ZhlavChar"/>
    <w:uiPriority w:val="99"/>
    <w:rsid w:val="006B5BA7"/>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rsid w:val="006B5BA7"/>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B5B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nancnisprava.cz/cs/dane/dane/dan-z-pridane-hodnoty/informace-stanoviska-a-sdeleni/ruzne/2011/informace-gfr-k-uplatnovani-dph-u-tzv-2129"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1116</Words>
  <Characters>6588</Characters>
  <Application>Microsoft Office Word</Application>
  <DocSecurity>0</DocSecurity>
  <Lines>54</Lines>
  <Paragraphs>15</Paragraphs>
  <ScaleCrop>false</ScaleCrop>
  <Company>Finanční správa</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Bloudková Kateřina Mgr. (GFŘ)</dc:creator>
  <cp:lastModifiedBy>Bloudková Kateřina Mgr. (GFŘ)</cp:lastModifiedBy>
  <cp:revision>1</cp:revision>
  <dcterms:created xsi:type="dcterms:W3CDTF">2018-06-14T04:38:00Z</dcterms:created>
  <dcterms:modified xsi:type="dcterms:W3CDTF">2018-06-14T04:48:00Z</dcterms:modified>
</cp:coreProperties>
</file>