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9E" w:rsidRPr="001C1695" w:rsidRDefault="0018429E" w:rsidP="0018429E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6</w:t>
      </w:r>
      <w:r>
        <w:rPr>
          <w:rFonts w:ascii="Arial" w:hAnsi="Arial" w:cs="Arial"/>
          <w:b/>
          <w:u w:val="single"/>
        </w:rPr>
        <w:t>9</w:t>
      </w:r>
      <w:r w:rsidRPr="001C1695">
        <w:rPr>
          <w:rFonts w:ascii="Arial" w:hAnsi="Arial" w:cs="Arial"/>
          <w:b/>
          <w:u w:val="single"/>
        </w:rPr>
        <w:t>/2017</w:t>
      </w:r>
    </w:p>
    <w:p w:rsidR="0018429E" w:rsidRDefault="0018429E" w:rsidP="0018429E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18429E" w:rsidRPr="00D82FA0" w:rsidRDefault="0018429E" w:rsidP="0018429E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82FA0">
        <w:rPr>
          <w:rFonts w:ascii="Arial" w:hAnsi="Arial" w:cs="Arial"/>
          <w:sz w:val="22"/>
          <w:szCs w:val="22"/>
        </w:rPr>
        <w:t xml:space="preserve">jaké znaky rizikovosti byly GFŘ prověřovány v souvislosti s nákupem mobilních telefonů od společnosti 2P </w:t>
      </w:r>
      <w:proofErr w:type="spellStart"/>
      <w:r w:rsidRPr="00D82FA0">
        <w:rPr>
          <w:rFonts w:ascii="Arial" w:hAnsi="Arial" w:cs="Arial"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sz w:val="22"/>
          <w:szCs w:val="22"/>
        </w:rPr>
        <w:t>, s. r. o. (viz vyjádření GRŘ, které je zveřejněno http://www.financnisprava.cz/cs/financni-sprava/pro-media/nepresnosti-v-mediich/2017/financni-sprava-proveruje-sve-dodavatele-8463, ve kterém se uvádí: „</w:t>
      </w:r>
      <w:r w:rsidRPr="00D82FA0">
        <w:rPr>
          <w:rFonts w:ascii="Arial" w:hAnsi="Arial" w:cs="Arial"/>
          <w:i/>
          <w:iCs/>
          <w:sz w:val="22"/>
          <w:szCs w:val="22"/>
        </w:rPr>
        <w:t xml:space="preserve">Generální finanční ředitelství postupuje před uzavřením smlouvy s jakýmkoliv dodavatelem vždy maximálně obezřetně. Své dodavatele prověřuje standardním způsobem stejně tak, jako u svých dodavatelů činní soukromé subjekty, a tedy stejně tak, jak od soukromých subjektů Finanční správa sama předpokládá. Generální finanční ředitelství si společnost </w:t>
      </w:r>
      <w:bookmarkStart w:id="0" w:name="_GoBack"/>
      <w:r w:rsidRPr="00D82FA0">
        <w:rPr>
          <w:rFonts w:ascii="Arial" w:hAnsi="Arial" w:cs="Arial"/>
          <w:i/>
          <w:iCs/>
          <w:sz w:val="22"/>
          <w:szCs w:val="22"/>
        </w:rPr>
        <w:t xml:space="preserve">2P </w:t>
      </w:r>
      <w:proofErr w:type="spellStart"/>
      <w:r w:rsidRPr="00D82FA0">
        <w:rPr>
          <w:rFonts w:ascii="Arial" w:hAnsi="Arial" w:cs="Arial"/>
          <w:i/>
          <w:iCs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i/>
          <w:iCs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i/>
          <w:iCs/>
          <w:sz w:val="22"/>
          <w:szCs w:val="22"/>
        </w:rPr>
        <w:t>, s. r. o.</w:t>
      </w:r>
      <w:bookmarkEnd w:id="0"/>
      <w:r w:rsidRPr="00D82FA0">
        <w:rPr>
          <w:rFonts w:ascii="Arial" w:hAnsi="Arial" w:cs="Arial"/>
          <w:i/>
          <w:iCs/>
          <w:sz w:val="22"/>
          <w:szCs w:val="22"/>
        </w:rPr>
        <w:t xml:space="preserve"> prověřilo mimo jiné v obchodním a insolvenčním rejstříku a v seznamu nespolehlivých plátců. </w:t>
      </w:r>
      <w:r w:rsidRPr="00D82FA0">
        <w:rPr>
          <w:rFonts w:ascii="Arial" w:hAnsi="Arial" w:cs="Arial"/>
          <w:b/>
          <w:bCs/>
          <w:sz w:val="22"/>
          <w:szCs w:val="22"/>
        </w:rPr>
        <w:t>Podle veřejně dostupných zdrojů dodavatel v době konání výběrového řízení a uzavření smlouvy nevykazoval žádné znaky rizikovosti</w:t>
      </w:r>
      <w:r w:rsidRPr="00D82FA0">
        <w:rPr>
          <w:rFonts w:ascii="Arial" w:hAnsi="Arial" w:cs="Arial"/>
          <w:i/>
          <w:iCs/>
          <w:sz w:val="22"/>
          <w:szCs w:val="22"/>
        </w:rPr>
        <w:t>, a tedy neexistoval žádný obhajitelný důvod ani zákonná možnost s vítězem výběrového řízení smlouvu neuzavřít</w:t>
      </w:r>
      <w:r w:rsidRPr="00D82FA0">
        <w:rPr>
          <w:rFonts w:ascii="Arial" w:hAnsi="Arial" w:cs="Arial"/>
          <w:sz w:val="22"/>
          <w:szCs w:val="22"/>
        </w:rPr>
        <w:t xml:space="preserve">.“) </w:t>
      </w:r>
    </w:p>
    <w:p w:rsidR="0018429E" w:rsidRPr="00D82FA0" w:rsidRDefault="0018429E" w:rsidP="0018429E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82FA0">
        <w:rPr>
          <w:rFonts w:ascii="Arial" w:hAnsi="Arial" w:cs="Arial"/>
          <w:sz w:val="22"/>
          <w:szCs w:val="22"/>
        </w:rPr>
        <w:t>jaké známky nestandardního chování a jaké poc</w:t>
      </w:r>
      <w:r>
        <w:rPr>
          <w:rFonts w:ascii="Arial" w:hAnsi="Arial" w:cs="Arial"/>
          <w:sz w:val="22"/>
          <w:szCs w:val="22"/>
        </w:rPr>
        <w:t>hybnosti byly GFŘ prověřovány v </w:t>
      </w:r>
      <w:r w:rsidRPr="00D82FA0">
        <w:rPr>
          <w:rFonts w:ascii="Arial" w:hAnsi="Arial" w:cs="Arial"/>
          <w:sz w:val="22"/>
          <w:szCs w:val="22"/>
        </w:rPr>
        <w:t xml:space="preserve">souvislosti s nákupem mobilních telefonů od společnosti 2P </w:t>
      </w:r>
      <w:proofErr w:type="spellStart"/>
      <w:r w:rsidRPr="00D82FA0">
        <w:rPr>
          <w:rFonts w:ascii="Arial" w:hAnsi="Arial" w:cs="Arial"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sz w:val="22"/>
          <w:szCs w:val="22"/>
        </w:rPr>
        <w:t>, s. r. o. (viz vyjádření GRŘ, které je zveřejněno http://www.financnisprava.cz/cs/financni-sprava/pro-media/nepresnosti-v-mediich/2017/financni-sprava-proveruje-sve-dodavatele-8463, ve kterém GFŘ uvádí: „</w:t>
      </w:r>
      <w:r w:rsidRPr="00D82FA0">
        <w:rPr>
          <w:rFonts w:ascii="Arial" w:hAnsi="Arial" w:cs="Arial"/>
          <w:i/>
          <w:iCs/>
          <w:sz w:val="22"/>
          <w:szCs w:val="22"/>
        </w:rPr>
        <w:t xml:space="preserve">V případě, že obchodní partner </w:t>
      </w:r>
      <w:r w:rsidRPr="00D82FA0">
        <w:rPr>
          <w:rFonts w:ascii="Arial" w:hAnsi="Arial" w:cs="Arial"/>
          <w:b/>
          <w:bCs/>
          <w:sz w:val="22"/>
          <w:szCs w:val="22"/>
        </w:rPr>
        <w:t>nevykazuje známky nestandardního chování a nejsou u něj žádné pochybnosti</w:t>
      </w:r>
      <w:r w:rsidRPr="00D82FA0">
        <w:rPr>
          <w:rFonts w:ascii="Arial" w:hAnsi="Arial" w:cs="Arial"/>
          <w:i/>
          <w:iCs/>
          <w:sz w:val="22"/>
          <w:szCs w:val="22"/>
        </w:rPr>
        <w:t>, lze ověření ve veřejných databázích považovat za dostačující</w:t>
      </w:r>
      <w:r w:rsidRPr="00D82FA0">
        <w:rPr>
          <w:rFonts w:ascii="Arial" w:hAnsi="Arial" w:cs="Arial"/>
          <w:sz w:val="22"/>
          <w:szCs w:val="22"/>
        </w:rPr>
        <w:t xml:space="preserve">.“) </w:t>
      </w:r>
    </w:p>
    <w:p w:rsidR="0018429E" w:rsidRPr="00D82FA0" w:rsidRDefault="0018429E" w:rsidP="0018429E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2FA0">
        <w:rPr>
          <w:rFonts w:ascii="Arial" w:hAnsi="Arial" w:cs="Arial"/>
          <w:color w:val="auto"/>
          <w:sz w:val="22"/>
          <w:szCs w:val="22"/>
        </w:rPr>
        <w:t xml:space="preserve">jaké znaky neobvyklého jednání či další znaky něčeho, co není zcela běžné, byly GFŘ prověřovány v souvislosti s nákupem mobilních telefonů od společnosti 2P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>, s. r. o. (viz vyjádření GRŘ, které je zveřejněno http://www.financnisprava.cz/cs/financni-sprava/pro-media/nepresnosti-v-mediich/2017/financni-sprava-proveruje-sve-dodavatele-8463, ve kterém GFŘ uvádí: „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 xml:space="preserve">Pokud však podnikatel u budoucího obchodního partnera objeví </w:t>
      </w:r>
      <w:r w:rsidRPr="00D82FA0">
        <w:rPr>
          <w:rFonts w:ascii="Arial" w:hAnsi="Arial" w:cs="Arial"/>
          <w:b/>
          <w:bCs/>
          <w:color w:val="auto"/>
          <w:sz w:val="22"/>
          <w:szCs w:val="22"/>
        </w:rPr>
        <w:t xml:space="preserve">neobvyklé jednání či další znaky něčeho, co není zcela běžné, 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>tak veřejné rejstříky rozhodně nestačí a je nutné si danou firmu pečlivě prověřit</w:t>
      </w:r>
      <w:r w:rsidRPr="00D82FA0">
        <w:rPr>
          <w:rFonts w:ascii="Arial" w:hAnsi="Arial" w:cs="Arial"/>
          <w:color w:val="auto"/>
          <w:sz w:val="22"/>
          <w:szCs w:val="22"/>
        </w:rPr>
        <w:t xml:space="preserve">.“) </w:t>
      </w:r>
    </w:p>
    <w:p w:rsidR="0018429E" w:rsidRPr="00D82FA0" w:rsidRDefault="0018429E" w:rsidP="0018429E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2FA0">
        <w:rPr>
          <w:rFonts w:ascii="Arial" w:hAnsi="Arial" w:cs="Arial"/>
          <w:color w:val="auto"/>
          <w:sz w:val="22"/>
          <w:szCs w:val="22"/>
        </w:rPr>
        <w:t xml:space="preserve">co konkrétně GFŘ před nákupem mobilních telefonů od společnosti 2P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>, s. r. o. prověřovalo (myšleno jaké informace byly vyhledávány a v jakých zdrojích), jaké všechny faktory byly brány v potaz (viz vyjádření GRŘ, které je zveřejněno http://www.financnisprava.cz/cs/financni-sprava/pro-media/nepresnosti-v-mediich/2017/financni-sprava-proveruje-sve-dodavatele-8463, ve kterém GFŘ uvádí: „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 xml:space="preserve">Finanční správa při výběru dodavatele obecně postupuje dle zákona o veřejných zakázkách a před uzavřením smlouvy si je </w:t>
      </w:r>
      <w:r>
        <w:rPr>
          <w:rFonts w:ascii="Arial" w:hAnsi="Arial" w:cs="Arial"/>
          <w:b/>
          <w:bCs/>
          <w:color w:val="auto"/>
          <w:sz w:val="22"/>
          <w:szCs w:val="22"/>
        </w:rPr>
        <w:t>maximálně prověří. Informace z </w:t>
      </w:r>
      <w:r w:rsidRPr="00D82FA0">
        <w:rPr>
          <w:rFonts w:ascii="Arial" w:hAnsi="Arial" w:cs="Arial"/>
          <w:b/>
          <w:bCs/>
          <w:color w:val="auto"/>
          <w:sz w:val="22"/>
          <w:szCs w:val="22"/>
        </w:rPr>
        <w:t>veřejných databází byly jedny z mnoha faktorů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>, které byly před uzavřením smlouvy brány v potaz.</w:t>
      </w:r>
      <w:r w:rsidRPr="00D82FA0">
        <w:rPr>
          <w:rFonts w:ascii="Arial" w:hAnsi="Arial" w:cs="Arial"/>
          <w:color w:val="auto"/>
          <w:sz w:val="22"/>
          <w:szCs w:val="22"/>
        </w:rPr>
        <w:t xml:space="preserve">“) </w:t>
      </w:r>
    </w:p>
    <w:p w:rsidR="0018429E" w:rsidRPr="00D82FA0" w:rsidRDefault="0018429E" w:rsidP="0018429E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2FA0">
        <w:rPr>
          <w:rFonts w:ascii="Arial" w:hAnsi="Arial" w:cs="Arial"/>
          <w:color w:val="auto"/>
          <w:sz w:val="22"/>
          <w:szCs w:val="22"/>
        </w:rPr>
        <w:t xml:space="preserve">v jakých případech, by GFŘ mobilní telefony od společnosti 2P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Commercial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82FA0">
        <w:rPr>
          <w:rFonts w:ascii="Arial" w:hAnsi="Arial" w:cs="Arial"/>
          <w:color w:val="auto"/>
          <w:sz w:val="22"/>
          <w:szCs w:val="22"/>
        </w:rPr>
        <w:t>Agency</w:t>
      </w:r>
      <w:proofErr w:type="spellEnd"/>
      <w:r w:rsidRPr="00D82FA0">
        <w:rPr>
          <w:rFonts w:ascii="Arial" w:hAnsi="Arial" w:cs="Arial"/>
          <w:color w:val="auto"/>
          <w:sz w:val="22"/>
          <w:szCs w:val="22"/>
        </w:rPr>
        <w:t>, s. r. o. nenakoupilo, resp. jaké známky rizikovosti by tato společnost musela vykazovat (viz vyjádření GRŘ, které je zveřejněno http://www.financnisprava.cz/cs/financni-sprava/pro-media/nepresnosti-v-mediich/2017/financni-sprava-proveruje-sve-dodavatele-8463, ve kterém GFŘ uvádí: „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 xml:space="preserve">Generální finanční ředitelství si vítězného dodavatele mobilních telefonů před 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lastRenderedPageBreak/>
        <w:t xml:space="preserve">uzavřením smlouvy dostatečně prověřilo ve veřejných databázích, a protože v té době </w:t>
      </w:r>
      <w:r w:rsidRPr="00D82FA0">
        <w:rPr>
          <w:rFonts w:ascii="Arial" w:hAnsi="Arial" w:cs="Arial"/>
          <w:b/>
          <w:bCs/>
          <w:color w:val="auto"/>
          <w:sz w:val="22"/>
          <w:szCs w:val="22"/>
        </w:rPr>
        <w:t xml:space="preserve">nevykazoval žádné znaky nestandardního chování, a tedy nejevil známky rizikovosti, </w:t>
      </w:r>
      <w:r w:rsidRPr="00D82FA0">
        <w:rPr>
          <w:rFonts w:ascii="Arial" w:hAnsi="Arial" w:cs="Arial"/>
          <w:i/>
          <w:iCs/>
          <w:color w:val="auto"/>
          <w:sz w:val="22"/>
          <w:szCs w:val="22"/>
        </w:rPr>
        <w:t>neexistoval žádný obhajitelný důvod, proč s ním smlouvu neuzavřít. Optikou posuzování daňových podvodů zde nebyly žádné objektivní okolnosti, které mohly vyvolat podezření o možnosti daňového úniku</w:t>
      </w:r>
      <w:r w:rsidRPr="00D82FA0">
        <w:rPr>
          <w:rFonts w:ascii="Arial" w:hAnsi="Arial" w:cs="Arial"/>
          <w:color w:val="auto"/>
          <w:sz w:val="22"/>
          <w:szCs w:val="22"/>
        </w:rPr>
        <w:t xml:space="preserve">.“) </w:t>
      </w:r>
    </w:p>
    <w:p w:rsidR="0018429E" w:rsidRDefault="0018429E" w:rsidP="0018429E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18429E" w:rsidRDefault="0018429E" w:rsidP="0018429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5286A">
        <w:rPr>
          <w:rFonts w:ascii="Arial" w:hAnsi="Arial" w:cs="Arial"/>
          <w:sz w:val="22"/>
          <w:szCs w:val="22"/>
        </w:rPr>
        <w:t xml:space="preserve">Finanční správa při výběru dodavatele obecně postupuje dle zákona č. </w:t>
      </w:r>
      <w:r>
        <w:rPr>
          <w:rFonts w:ascii="Arial" w:hAnsi="Arial" w:cs="Arial"/>
          <w:sz w:val="22"/>
          <w:szCs w:val="22"/>
        </w:rPr>
        <w:t>1</w:t>
      </w:r>
      <w:r w:rsidRPr="0015286A">
        <w:rPr>
          <w:rFonts w:ascii="Arial" w:hAnsi="Arial" w:cs="Arial"/>
          <w:sz w:val="22"/>
          <w:szCs w:val="22"/>
        </w:rPr>
        <w:t xml:space="preserve">34/2016 Sb., o zadávání veřejných zakázek, v platném znění </w:t>
      </w:r>
      <w:r>
        <w:rPr>
          <w:rFonts w:ascii="Arial" w:hAnsi="Arial" w:cs="Arial"/>
          <w:sz w:val="22"/>
          <w:szCs w:val="22"/>
        </w:rPr>
        <w:t>(dříve zákon č. 137/2006 Sb., o </w:t>
      </w:r>
      <w:r w:rsidRPr="0015286A">
        <w:rPr>
          <w:rFonts w:ascii="Arial" w:hAnsi="Arial" w:cs="Arial"/>
          <w:sz w:val="22"/>
          <w:szCs w:val="22"/>
        </w:rPr>
        <w:t xml:space="preserve">veřejných zakázkách), a před uzavřením smlouvy si dodavatele </w:t>
      </w:r>
      <w:r>
        <w:rPr>
          <w:rFonts w:ascii="Arial" w:hAnsi="Arial" w:cs="Arial"/>
          <w:sz w:val="22"/>
          <w:szCs w:val="22"/>
        </w:rPr>
        <w:t>v  mezích</w:t>
      </w:r>
      <w:r w:rsidRPr="001528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zákonných možností </w:t>
      </w:r>
      <w:r w:rsidRPr="0015286A">
        <w:rPr>
          <w:rFonts w:ascii="Arial" w:hAnsi="Arial" w:cs="Arial"/>
          <w:sz w:val="22"/>
          <w:szCs w:val="22"/>
        </w:rPr>
        <w:t xml:space="preserve">prověří. </w:t>
      </w:r>
      <w:r w:rsidRPr="00C520F7">
        <w:rPr>
          <w:rFonts w:ascii="Arial" w:hAnsi="Arial" w:cs="Arial"/>
          <w:sz w:val="22"/>
          <w:szCs w:val="22"/>
        </w:rPr>
        <w:t>Generální finanční ředitelství si vítězného dodavatele mobilních telefonů před uzavřením smlouvy prověřilo ve veřejných databázích,</w:t>
      </w:r>
      <w:r>
        <w:rPr>
          <w:rFonts w:ascii="Arial" w:hAnsi="Arial" w:cs="Arial"/>
          <w:sz w:val="22"/>
          <w:szCs w:val="22"/>
        </w:rPr>
        <w:t xml:space="preserve"> např. v obchodním a insolvenčním rejstříku, seznamu nespolehlivých plátců. </w:t>
      </w:r>
    </w:p>
    <w:p w:rsidR="0018429E" w:rsidRPr="00A70AA7" w:rsidRDefault="0018429E" w:rsidP="0018429E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zakázky malého rozsahu nemají zákonem stanovené náležitosti mimo zásady transparentnosti, přiměřenosti, rovného zacházení, zákazu diskriminace, zákazu omezení účasti v zadávacím řízení dodavatelům z EU, EHS, Švýcarské konfederace nebo dodavatelům, kteří mají sídlo ve státě, se kterým má ČR nebo EU uzavřenu mezinárodní smlouvu zaručující přístup dodavatelům z těchto států k zadávané veřejné zakázce (viz § 6 Zásady zadávání veřejných zakázek a zároveň § 31 zákona č. 134/2016 Sb., o zadávání veřejných zakázek, v platném znění, dříve § 6 a § 18 odst. 5 zákona č. 137/2006 Sb.). </w:t>
      </w:r>
      <w:r w:rsidRPr="00A70AA7">
        <w:rPr>
          <w:rFonts w:ascii="Arial" w:hAnsi="Arial" w:cs="Arial"/>
        </w:rPr>
        <w:t xml:space="preserve">Ačkoliv </w:t>
      </w:r>
      <w:r>
        <w:rPr>
          <w:rFonts w:ascii="Arial" w:hAnsi="Arial" w:cs="Arial"/>
        </w:rPr>
        <w:t xml:space="preserve">tedy </w:t>
      </w:r>
      <w:r w:rsidRPr="00A70AA7">
        <w:rPr>
          <w:rFonts w:ascii="Arial" w:hAnsi="Arial" w:cs="Arial"/>
        </w:rPr>
        <w:t>pro veřejné zakázky malého rozsahu</w:t>
      </w:r>
      <w:r>
        <w:rPr>
          <w:rFonts w:ascii="Arial" w:hAnsi="Arial" w:cs="Arial"/>
        </w:rPr>
        <w:t xml:space="preserve"> nejsou a</w:t>
      </w:r>
      <w:r w:rsidRPr="00A70AA7">
        <w:rPr>
          <w:rFonts w:ascii="Arial" w:hAnsi="Arial" w:cs="Arial"/>
        </w:rPr>
        <w:t xml:space="preserve"> nebyly povinnou náležitostí „základní kvalifikační předpoklady“ podle § 53 zákona č. 137/2006 Sb., byla to v rozsahu písmen a) až i) § 53 odst. 1 zákona č. 137/2006 Sb. součást této veřejné zakázky. Všichni zúčastnění na této zakázce měli za povinnost přeložit např. potvrzení o daňovém nedoplatku (viz písm. f) § 53 zákona č. 137/2006 Sb.). </w:t>
      </w:r>
    </w:p>
    <w:p w:rsidR="0018429E" w:rsidRDefault="0018429E" w:rsidP="0018429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uzavřením smlouvy pracovníci Generálního finančního ředitelství nezjistili, že by společnost vykazovala známky nestandardního chování.</w:t>
      </w:r>
    </w:p>
    <w:p w:rsidR="0018429E" w:rsidRDefault="0018429E" w:rsidP="0018429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5286A">
        <w:rPr>
          <w:rFonts w:ascii="Arial" w:hAnsi="Arial" w:cs="Arial"/>
          <w:sz w:val="22"/>
          <w:szCs w:val="22"/>
        </w:rPr>
        <w:t>Finanční správa při zadávání vlastních veřejných zakázek na dodávku zboží a služeb nevystupuje v roli správce daně a nevede daňové řízení, ale je v roli zadavatele veřejné zakázky, a proto nesmí využívat svých inte</w:t>
      </w:r>
      <w:r>
        <w:rPr>
          <w:rFonts w:ascii="Arial" w:hAnsi="Arial" w:cs="Arial"/>
          <w:sz w:val="22"/>
          <w:szCs w:val="22"/>
        </w:rPr>
        <w:t>rních analytických nástrojů pro </w:t>
      </w:r>
      <w:r w:rsidRPr="0015286A">
        <w:rPr>
          <w:rFonts w:ascii="Arial" w:hAnsi="Arial" w:cs="Arial"/>
          <w:sz w:val="22"/>
          <w:szCs w:val="22"/>
        </w:rPr>
        <w:t xml:space="preserve">prověření dodavatelských firem, neboť by tím porušila povinnost mlčenlivosti. Zdali tedy v době výběrového řízení u společnosti 2P </w:t>
      </w:r>
      <w:proofErr w:type="spellStart"/>
      <w:r w:rsidRPr="0015286A">
        <w:rPr>
          <w:rFonts w:ascii="Arial" w:hAnsi="Arial" w:cs="Arial"/>
          <w:sz w:val="22"/>
          <w:szCs w:val="22"/>
        </w:rPr>
        <w:t>Commercial</w:t>
      </w:r>
      <w:proofErr w:type="spellEnd"/>
      <w:r w:rsidRPr="001528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286A">
        <w:rPr>
          <w:rFonts w:ascii="Arial" w:hAnsi="Arial" w:cs="Arial"/>
          <w:sz w:val="22"/>
          <w:szCs w:val="22"/>
        </w:rPr>
        <w:t>Agency</w:t>
      </w:r>
      <w:proofErr w:type="spellEnd"/>
      <w:r w:rsidRPr="0015286A">
        <w:rPr>
          <w:rFonts w:ascii="Arial" w:hAnsi="Arial" w:cs="Arial"/>
          <w:sz w:val="22"/>
          <w:szCs w:val="22"/>
        </w:rPr>
        <w:t>, s. r. o. probíhala kontrola ze strany Specializovaného finančního úřadu, nemohlo ani nesmělo Generální finanční ředitelství vědět. Nicméně pouze samotný fakt, že u této firmy probíhala daňová kontrola, by neznamenal, že je riziková. Daňové kontroly jsou u velkých společností vedeny často, a to z nejrůznějších důvodů, jedním z nich může být i namátková kontrola.</w:t>
      </w:r>
    </w:p>
    <w:p w:rsidR="0018429E" w:rsidRPr="00C520F7" w:rsidRDefault="0018429E" w:rsidP="0018429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520F7">
        <w:rPr>
          <w:rFonts w:ascii="Arial" w:hAnsi="Arial" w:cs="Arial"/>
          <w:sz w:val="22"/>
          <w:szCs w:val="22"/>
        </w:rPr>
        <w:t xml:space="preserve">Generální finanční ředitelství si vítězného dodavatele mobilních telefonů před uzavřením smlouvy prověřilo ve veřejných databázích, a protože v té době nejevil známky rizikovosti, neexistoval žádný objektivní důvod, proč s ním smlouvu neuzavřít. Neprojevily se žádné okolnosti, které mohly vyvolat podezření o možnosti daňového úniku. </w:t>
      </w:r>
    </w:p>
    <w:p w:rsidR="0018429E" w:rsidRPr="00FF4454" w:rsidRDefault="0018429E" w:rsidP="0018429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F4454">
        <w:rPr>
          <w:rFonts w:ascii="Arial" w:hAnsi="Arial" w:cs="Arial"/>
          <w:sz w:val="22"/>
          <w:szCs w:val="22"/>
        </w:rPr>
        <w:t xml:space="preserve">Generální finanční ředitelství by neuzavřelo s výše uvedenou společností smlouvu v případě, že by tato společnost nedodržela veškeré podmínky, které jako zadavatel </w:t>
      </w:r>
      <w:r w:rsidRPr="00FF4454">
        <w:rPr>
          <w:rFonts w:ascii="Arial" w:hAnsi="Arial" w:cs="Arial"/>
          <w:sz w:val="22"/>
          <w:szCs w:val="22"/>
        </w:rPr>
        <w:lastRenderedPageBreak/>
        <w:t xml:space="preserve">nastavilo GFŘ, případně pokud by společnost nedodala veškeré požadované dokumenty tak, aby mohlo řádně proběhnout výběrové řízení. Dále by smlouva s touto společností nebyla uzavřena, pokud by společnost vykazovala známky nestandardního chování, nebo pokud by např. byla v insolvenci či by byla uvedena v seznamu nespolehlivých plátců. </w:t>
      </w:r>
    </w:p>
    <w:sectPr w:rsidR="0018429E" w:rsidRPr="00FF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9C0"/>
    <w:multiLevelType w:val="hybridMultilevel"/>
    <w:tmpl w:val="168C6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2B7C"/>
    <w:multiLevelType w:val="hybridMultilevel"/>
    <w:tmpl w:val="5A5A9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9E"/>
    <w:rsid w:val="0018429E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2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2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29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2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2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29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5909</Characters>
  <Application>Microsoft Office Word</Application>
  <DocSecurity>0</DocSecurity>
  <Lines>49</Lines>
  <Paragraphs>13</Paragraphs>
  <ScaleCrop>false</ScaleCrop>
  <Company>Finanční správa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2017-06-29T09:34:00Z</dcterms:created>
  <dcterms:modified xsi:type="dcterms:W3CDTF">2017-06-29T09:39:00Z</dcterms:modified>
</cp:coreProperties>
</file>