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87" w:rsidRDefault="00B00B87" w:rsidP="00B00B87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Poskytnutá informace GFŘ podle zákona o svobodném přístupu k informacím 130/2017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B00B87" w:rsidRDefault="00B00B87" w:rsidP="00B00B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1) Dne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26.10.20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17</w:t>
      </w:r>
      <w:proofErr w:type="gramEnd"/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jsem obdržel od obchodníka úč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tenku (viz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íloha 1),kterou jsem hodlal zaregistrovat ve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hře </w:t>
      </w:r>
      <w:proofErr w:type="spellStart"/>
      <w:r w:rsidR="00912B8C">
        <w:rPr>
          <w:rFonts w:ascii="Times New Roman" w:hAnsi="Times New Roman" w:cs="Times New Roman"/>
          <w:sz w:val="24"/>
          <w:szCs w:val="24"/>
          <w:lang w:eastAsia="en-US"/>
        </w:rPr>
        <w:t>Úč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tenkovka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ři vyplň</w:t>
      </w:r>
      <w:r>
        <w:rPr>
          <w:rFonts w:ascii="Times New Roman" w:hAnsi="Times New Roman" w:cs="Times New Roman"/>
          <w:sz w:val="24"/>
          <w:szCs w:val="24"/>
          <w:lang w:eastAsia="en-US"/>
        </w:rPr>
        <w:t>ování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vstupního formulá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e jsem obdržel informaci, že ve 3. skupin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FIK má</w:t>
      </w:r>
      <w:proofErr w:type="gramEnd"/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eastAsia="en-US"/>
        </w:rPr>
        <w:t>ýt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prvním znakem "4".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i ov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ěř</w:t>
      </w:r>
      <w:r>
        <w:rPr>
          <w:rFonts w:ascii="Times New Roman" w:hAnsi="Times New Roman" w:cs="Times New Roman"/>
          <w:sz w:val="24"/>
          <w:szCs w:val="24"/>
          <w:lang w:eastAsia="en-US"/>
        </w:rPr>
        <w:t>ování 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tenky na Da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ň</w:t>
      </w:r>
      <w:r>
        <w:rPr>
          <w:rFonts w:ascii="Times New Roman" w:hAnsi="Times New Roman" w:cs="Times New Roman"/>
          <w:sz w:val="24"/>
          <w:szCs w:val="24"/>
          <w:lang w:eastAsia="en-US"/>
        </w:rPr>
        <w:t>ovém portálu nebyla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tenka nalezena.</w:t>
      </w:r>
    </w:p>
    <w:p w:rsidR="00B00B87" w:rsidRDefault="00B00B87" w:rsidP="00B00B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2) Dne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26.11.2017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jsem obdržel od obchodníka 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tenku (viz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íloha 2),kterou jsem op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</w:t>
      </w:r>
      <w:r>
        <w:rPr>
          <w:rFonts w:ascii="Times New Roman" w:hAnsi="Times New Roman" w:cs="Times New Roman"/>
          <w:sz w:val="24"/>
          <w:szCs w:val="24"/>
          <w:lang w:eastAsia="en-US"/>
        </w:rPr>
        <w:t>t na Da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ň</w:t>
      </w:r>
      <w:r>
        <w:rPr>
          <w:rFonts w:ascii="Times New Roman" w:hAnsi="Times New Roman" w:cs="Times New Roman"/>
          <w:sz w:val="24"/>
          <w:szCs w:val="24"/>
          <w:lang w:eastAsia="en-US"/>
        </w:rPr>
        <w:t>ovém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portálu nedohledal, byt dle mého jsem opsal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všechny údaje správn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00B87" w:rsidRDefault="00B00B87" w:rsidP="00B00B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Rád bych vás touto cestou požádal o informace:</w:t>
      </w:r>
    </w:p>
    <w:p w:rsidR="00B00B87" w:rsidRDefault="00B00B87" w:rsidP="00B00B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Je 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tenka z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ílohy c. 1 evidována v EET? Odpovídají údaje na 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tence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údaj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ů</w:t>
      </w:r>
      <w:r>
        <w:rPr>
          <w:rFonts w:ascii="Times New Roman" w:hAnsi="Times New Roman" w:cs="Times New Roman"/>
          <w:sz w:val="24"/>
          <w:szCs w:val="24"/>
          <w:lang w:eastAsia="en-US"/>
        </w:rPr>
        <w:t>m v EET?</w:t>
      </w:r>
    </w:p>
    <w:p w:rsidR="00B00B87" w:rsidRDefault="00B00B87" w:rsidP="00B00B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Je 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tenka z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ílohy c. 2 evidována v EET? Odpovídají údaje na 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tence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údaj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ů</w:t>
      </w:r>
      <w:r>
        <w:rPr>
          <w:rFonts w:ascii="Times New Roman" w:hAnsi="Times New Roman" w:cs="Times New Roman"/>
          <w:sz w:val="24"/>
          <w:szCs w:val="24"/>
          <w:lang w:eastAsia="en-US"/>
        </w:rPr>
        <w:t>m v EET?</w:t>
      </w:r>
    </w:p>
    <w:p w:rsidR="00B00B87" w:rsidRDefault="00B00B87" w:rsidP="00B00B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Jakým zp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ů</w:t>
      </w:r>
      <w:r>
        <w:rPr>
          <w:rFonts w:ascii="Times New Roman" w:hAnsi="Times New Roman" w:cs="Times New Roman"/>
          <w:sz w:val="24"/>
          <w:szCs w:val="24"/>
          <w:lang w:eastAsia="en-US"/>
        </w:rPr>
        <w:t>sobem mám postupovat v t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</w:t>
      </w:r>
      <w:r>
        <w:rPr>
          <w:rFonts w:ascii="Times New Roman" w:hAnsi="Times New Roman" w:cs="Times New Roman"/>
          <w:sz w:val="24"/>
          <w:szCs w:val="24"/>
          <w:lang w:eastAsia="en-US"/>
        </w:rPr>
        <w:t>chto a dalších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ípadech, kdy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tenka není prost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ednictvím</w:t>
      </w:r>
    </w:p>
    <w:p w:rsidR="00B00B87" w:rsidRPr="00912B8C" w:rsidRDefault="00B00B87" w:rsidP="00912B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Da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ň</w:t>
      </w:r>
      <w:r>
        <w:rPr>
          <w:rFonts w:ascii="Times New Roman" w:hAnsi="Times New Roman" w:cs="Times New Roman"/>
          <w:sz w:val="24"/>
          <w:szCs w:val="24"/>
          <w:lang w:eastAsia="en-US"/>
        </w:rPr>
        <w:t>ového portálu ov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ěř</w:t>
      </w:r>
      <w:r>
        <w:rPr>
          <w:rFonts w:ascii="Times New Roman" w:hAnsi="Times New Roman" w:cs="Times New Roman"/>
          <w:sz w:val="24"/>
          <w:szCs w:val="24"/>
          <w:lang w:eastAsia="en-US"/>
        </w:rPr>
        <w:t>ena v EET, abych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sjednal nápravu - tedy, aby da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ň</w:t>
      </w:r>
      <w:r>
        <w:rPr>
          <w:rFonts w:ascii="Times New Roman" w:hAnsi="Times New Roman" w:cs="Times New Roman"/>
          <w:sz w:val="24"/>
          <w:szCs w:val="24"/>
          <w:lang w:eastAsia="en-US"/>
        </w:rPr>
        <w:t>ové subjekty evidovaly ú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tenky v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 </w:t>
      </w:r>
      <w:r>
        <w:rPr>
          <w:rFonts w:ascii="Times New Roman" w:hAnsi="Times New Roman" w:cs="Times New Roman"/>
          <w:sz w:val="24"/>
          <w:szCs w:val="24"/>
          <w:lang w:eastAsia="en-US"/>
        </w:rPr>
        <w:t>EET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správn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</w:t>
      </w:r>
      <w:r>
        <w:rPr>
          <w:rFonts w:ascii="Times New Roman" w:hAnsi="Times New Roman" w:cs="Times New Roman"/>
          <w:sz w:val="24"/>
          <w:szCs w:val="24"/>
          <w:lang w:eastAsia="en-US"/>
        </w:rPr>
        <w:t>?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ípadn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ě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jakým zp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ů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sobem 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ešit tyto p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ř</w:t>
      </w:r>
      <w:r>
        <w:rPr>
          <w:rFonts w:ascii="Times New Roman" w:hAnsi="Times New Roman" w:cs="Times New Roman"/>
          <w:sz w:val="24"/>
          <w:szCs w:val="24"/>
          <w:lang w:eastAsia="en-US"/>
        </w:rPr>
        <w:t>ípady s orgány finan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>č</w:t>
      </w:r>
      <w:r>
        <w:rPr>
          <w:rFonts w:ascii="Times New Roman" w:hAnsi="Times New Roman" w:cs="Times New Roman"/>
          <w:sz w:val="24"/>
          <w:szCs w:val="24"/>
          <w:lang w:eastAsia="en-US"/>
        </w:rPr>
        <w:t>ní</w:t>
      </w:r>
      <w:r w:rsidR="00912B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správy?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ind w:firstLine="708"/>
        <w:rPr>
          <w:rFonts w:ascii="Arial" w:hAnsi="Arial" w:cs="Arial"/>
        </w:rPr>
      </w:pPr>
      <w:bookmarkStart w:id="1" w:name="_GoBack"/>
      <w:bookmarkEnd w:id="1"/>
    </w:p>
    <w:p w:rsidR="00B00B87" w:rsidRDefault="00B00B87" w:rsidP="00B00B87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</w:rPr>
      </w:pPr>
      <w:r w:rsidRPr="004D4807">
        <w:rPr>
          <w:rFonts w:ascii="Arial" w:hAnsi="Arial" w:cs="Arial"/>
          <w:color w:val="000000"/>
        </w:rPr>
        <w:t xml:space="preserve">Dle herního plánu </w:t>
      </w:r>
      <w:proofErr w:type="spellStart"/>
      <w:r w:rsidRPr="004D4807">
        <w:rPr>
          <w:rFonts w:ascii="Arial" w:hAnsi="Arial" w:cs="Arial"/>
          <w:color w:val="000000"/>
        </w:rPr>
        <w:t>účtenko</w:t>
      </w:r>
      <w:r>
        <w:rPr>
          <w:rFonts w:ascii="Arial" w:hAnsi="Arial" w:cs="Arial"/>
          <w:color w:val="000000"/>
        </w:rPr>
        <w:t>vé</w:t>
      </w:r>
      <w:proofErr w:type="spellEnd"/>
      <w:r>
        <w:rPr>
          <w:rFonts w:ascii="Arial" w:hAnsi="Arial" w:cs="Arial"/>
          <w:color w:val="000000"/>
        </w:rPr>
        <w:t xml:space="preserve"> loterie (dále jen „</w:t>
      </w:r>
      <w:proofErr w:type="spellStart"/>
      <w:r>
        <w:rPr>
          <w:rFonts w:ascii="Arial" w:hAnsi="Arial" w:cs="Arial"/>
          <w:color w:val="000000"/>
        </w:rPr>
        <w:t>Účtenkovka</w:t>
      </w:r>
      <w:proofErr w:type="spellEnd"/>
      <w:r>
        <w:rPr>
          <w:rFonts w:ascii="Arial" w:hAnsi="Arial" w:cs="Arial"/>
          <w:color w:val="000000"/>
        </w:rPr>
        <w:t>“) čl. 4 odst. 1 lze registrovat účtenku do losování nejpozději do 24:00 hod 12. dne kalendářního měsíce, v němž se koná slosování, za předpokladu splnění následujících podmínek:</w:t>
      </w:r>
    </w:p>
    <w:p w:rsidR="00B00B87" w:rsidRPr="0065189C" w:rsidRDefault="00B00B87" w:rsidP="00B00B87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 w:rsidRPr="0065189C">
        <w:rPr>
          <w:rFonts w:ascii="Arial" w:hAnsi="Arial" w:cs="Arial"/>
          <w:color w:val="000000"/>
        </w:rPr>
        <w:t xml:space="preserve">účtenka byla vystavena s kladnou celkovou částkou tržby poplatníkem, který </w:t>
      </w:r>
      <w:proofErr w:type="gramStart"/>
      <w:r w:rsidRPr="0065189C">
        <w:rPr>
          <w:rFonts w:ascii="Arial" w:hAnsi="Arial" w:cs="Arial"/>
          <w:color w:val="000000"/>
        </w:rPr>
        <w:t xml:space="preserve">eviduje </w:t>
      </w:r>
      <w:r>
        <w:rPr>
          <w:rFonts w:ascii="Arial" w:hAnsi="Arial" w:cs="Arial"/>
          <w:color w:val="000000"/>
        </w:rPr>
        <w:t xml:space="preserve">  </w:t>
      </w:r>
      <w:r w:rsidRPr="0065189C">
        <w:rPr>
          <w:rFonts w:ascii="Arial" w:hAnsi="Arial" w:cs="Arial"/>
          <w:color w:val="000000"/>
        </w:rPr>
        <w:t>tržby</w:t>
      </w:r>
      <w:proofErr w:type="gramEnd"/>
      <w:r w:rsidRPr="0065189C">
        <w:rPr>
          <w:rFonts w:ascii="Arial" w:hAnsi="Arial" w:cs="Arial"/>
          <w:color w:val="000000"/>
        </w:rPr>
        <w:t xml:space="preserve"> a vystavuje účtenky dle zákona o evidenci tržeb (dále jen „Obchodník“), </w:t>
      </w:r>
    </w:p>
    <w:p w:rsidR="00B00B87" w:rsidRPr="0065189C" w:rsidRDefault="00B00B87" w:rsidP="00B00B87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 w:rsidRPr="0065189C">
        <w:rPr>
          <w:rFonts w:ascii="Arial" w:hAnsi="Arial" w:cs="Arial"/>
          <w:color w:val="000000"/>
        </w:rPr>
        <w:t xml:space="preserve">účtenka byla vystavena v průběhu kalendářního měsíce bezprostředně </w:t>
      </w:r>
      <w:r>
        <w:rPr>
          <w:rFonts w:ascii="Arial" w:hAnsi="Arial" w:cs="Arial"/>
          <w:color w:val="000000"/>
        </w:rPr>
        <w:t xml:space="preserve">předcházejícího </w:t>
      </w:r>
      <w:r w:rsidRPr="0065189C">
        <w:rPr>
          <w:rFonts w:ascii="Arial" w:hAnsi="Arial" w:cs="Arial"/>
          <w:color w:val="000000"/>
        </w:rPr>
        <w:t xml:space="preserve">měsíci, v němž se koná nejbližší slosování, </w:t>
      </w:r>
    </w:p>
    <w:p w:rsidR="00B00B87" w:rsidRPr="0065189C" w:rsidRDefault="00B00B87" w:rsidP="00B00B87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 w:rsidRPr="0065189C">
        <w:rPr>
          <w:rFonts w:ascii="Arial" w:hAnsi="Arial" w:cs="Arial"/>
          <w:color w:val="000000"/>
        </w:rPr>
        <w:t xml:space="preserve">účtenka nebyla doposud do slosování registrována, </w:t>
      </w:r>
    </w:p>
    <w:p w:rsidR="00B00B87" w:rsidRDefault="00B00B87" w:rsidP="00B00B87">
      <w:pPr>
        <w:numPr>
          <w:ilvl w:val="0"/>
          <w:numId w:val="3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 w:rsidRPr="0065189C">
        <w:rPr>
          <w:rFonts w:ascii="Arial" w:hAnsi="Arial" w:cs="Arial"/>
          <w:color w:val="000000"/>
        </w:rPr>
        <w:t xml:space="preserve">účtenku vystavenou stejným Obchodníkem ve stejný kalendářní den daného </w:t>
      </w:r>
      <w:proofErr w:type="gramStart"/>
      <w:r w:rsidRPr="0065189C">
        <w:rPr>
          <w:rFonts w:ascii="Arial" w:hAnsi="Arial" w:cs="Arial"/>
          <w:color w:val="000000"/>
        </w:rPr>
        <w:t xml:space="preserve">roku </w:t>
      </w:r>
      <w:r>
        <w:rPr>
          <w:rFonts w:ascii="Arial" w:hAnsi="Arial" w:cs="Arial"/>
          <w:color w:val="000000"/>
        </w:rPr>
        <w:t xml:space="preserve">                   </w:t>
      </w:r>
      <w:r w:rsidRPr="0065189C">
        <w:rPr>
          <w:rFonts w:ascii="Arial" w:hAnsi="Arial" w:cs="Arial"/>
          <w:color w:val="000000"/>
        </w:rPr>
        <w:t>stejný</w:t>
      </w:r>
      <w:proofErr w:type="gramEnd"/>
      <w:r w:rsidRPr="0065189C">
        <w:rPr>
          <w:rFonts w:ascii="Arial" w:hAnsi="Arial" w:cs="Arial"/>
          <w:color w:val="000000"/>
        </w:rPr>
        <w:t xml:space="preserve"> Hráč doposud neregistroval. 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Dle herního plánu </w:t>
      </w:r>
      <w:proofErr w:type="spellStart"/>
      <w:r>
        <w:rPr>
          <w:rFonts w:ascii="Arial" w:hAnsi="Arial" w:cs="Arial"/>
          <w:color w:val="000000"/>
        </w:rPr>
        <w:t>Účtenkovky</w:t>
      </w:r>
      <w:proofErr w:type="spellEnd"/>
      <w:r>
        <w:rPr>
          <w:rFonts w:ascii="Arial" w:hAnsi="Arial" w:cs="Arial"/>
          <w:color w:val="000000"/>
        </w:rPr>
        <w:t xml:space="preserve"> čl. 4 odst. 2 nebude-li možné účtenku do losování registrovat pro nesplnění některé z podmínek dle odst. 1, informuje </w:t>
      </w:r>
      <w:proofErr w:type="spellStart"/>
      <w:r w:rsidRPr="007D1096">
        <w:rPr>
          <w:rFonts w:ascii="Arial" w:hAnsi="Arial" w:cs="Arial"/>
        </w:rPr>
        <w:t>Diebold</w:t>
      </w:r>
      <w:proofErr w:type="spellEnd"/>
      <w:r w:rsidRPr="007D1096">
        <w:rPr>
          <w:rFonts w:ascii="Arial" w:hAnsi="Arial" w:cs="Arial"/>
        </w:rPr>
        <w:t xml:space="preserve"> </w:t>
      </w:r>
      <w:proofErr w:type="spellStart"/>
      <w:r w:rsidRPr="007D1096">
        <w:rPr>
          <w:rFonts w:ascii="Arial" w:hAnsi="Arial" w:cs="Arial"/>
        </w:rPr>
        <w:t>Nixdorf</w:t>
      </w:r>
      <w:proofErr w:type="spellEnd"/>
      <w:r w:rsidRPr="007D1096">
        <w:rPr>
          <w:rFonts w:ascii="Arial" w:hAnsi="Arial" w:cs="Arial"/>
        </w:rPr>
        <w:t xml:space="preserve"> s.r.o.</w:t>
      </w:r>
      <w:r>
        <w:rPr>
          <w:sz w:val="23"/>
          <w:szCs w:val="23"/>
        </w:rPr>
        <w:t xml:space="preserve"> </w:t>
      </w:r>
      <w:r w:rsidRPr="007F72D3">
        <w:rPr>
          <w:rFonts w:ascii="Arial" w:hAnsi="Arial" w:cs="Arial"/>
        </w:rPr>
        <w:t>(</w:t>
      </w:r>
      <w:r>
        <w:rPr>
          <w:rFonts w:ascii="Arial" w:hAnsi="Arial" w:cs="Arial"/>
        </w:rPr>
        <w:t>„</w:t>
      </w:r>
      <w:r w:rsidRPr="007F72D3">
        <w:rPr>
          <w:rFonts w:ascii="Arial" w:hAnsi="Arial" w:cs="Arial"/>
        </w:rPr>
        <w:t>Provozovatel</w:t>
      </w:r>
      <w:r>
        <w:rPr>
          <w:rFonts w:ascii="Arial" w:hAnsi="Arial" w:cs="Arial"/>
        </w:rPr>
        <w:t>“</w:t>
      </w:r>
      <w:r w:rsidRPr="007F72D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Účtenkovky</w:t>
      </w:r>
      <w:proofErr w:type="spellEnd"/>
      <w:r w:rsidRPr="007F72D3">
        <w:rPr>
          <w:rFonts w:ascii="Arial" w:hAnsi="Arial" w:cs="Arial"/>
        </w:rPr>
        <w:t xml:space="preserve">) </w:t>
      </w:r>
      <w:r w:rsidRPr="007F72D3">
        <w:rPr>
          <w:rFonts w:ascii="Arial" w:hAnsi="Arial" w:cs="Arial"/>
          <w:color w:val="000000"/>
        </w:rPr>
        <w:t>Hráče</w:t>
      </w:r>
      <w:r>
        <w:rPr>
          <w:rFonts w:ascii="Arial" w:hAnsi="Arial" w:cs="Arial"/>
          <w:color w:val="000000"/>
        </w:rPr>
        <w:t xml:space="preserve"> o důvodu nezařazení účtenky do losování:</w:t>
      </w:r>
    </w:p>
    <w:p w:rsidR="00B00B87" w:rsidRPr="007D1096" w:rsidRDefault="00B00B87" w:rsidP="00B00B87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 w:rsidRPr="007D1096">
        <w:rPr>
          <w:rFonts w:ascii="Arial" w:hAnsi="Arial" w:cs="Arial"/>
          <w:color w:val="000000"/>
        </w:rPr>
        <w:t>na webových stránkách nebo v mobilní aplikaci při</w:t>
      </w:r>
      <w:r>
        <w:rPr>
          <w:rFonts w:ascii="Arial" w:hAnsi="Arial" w:cs="Arial"/>
          <w:color w:val="000000"/>
        </w:rPr>
        <w:t xml:space="preserve"> registraci účtenky po odeslání </w:t>
      </w:r>
      <w:r w:rsidRPr="007D1096">
        <w:rPr>
          <w:rFonts w:ascii="Arial" w:hAnsi="Arial" w:cs="Arial"/>
          <w:color w:val="000000"/>
        </w:rPr>
        <w:t>registračního formuláře nebo</w:t>
      </w:r>
      <w:r>
        <w:rPr>
          <w:rFonts w:ascii="Arial" w:hAnsi="Arial" w:cs="Arial"/>
          <w:color w:val="000000"/>
        </w:rPr>
        <w:t>,</w:t>
      </w:r>
    </w:p>
    <w:p w:rsidR="00B00B87" w:rsidRPr="007D1096" w:rsidRDefault="00B00B87" w:rsidP="00B00B87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 w:rsidRPr="007D1096">
        <w:rPr>
          <w:rFonts w:ascii="Arial" w:hAnsi="Arial" w:cs="Arial"/>
          <w:color w:val="000000"/>
        </w:rPr>
        <w:t>prostřednictvím e-mailu (pokud nemá zřízen Hráčský ú</w:t>
      </w:r>
      <w:r>
        <w:rPr>
          <w:rFonts w:ascii="Arial" w:hAnsi="Arial" w:cs="Arial"/>
          <w:color w:val="000000"/>
        </w:rPr>
        <w:t xml:space="preserve">čet a zároveň se při registraci </w:t>
      </w:r>
      <w:r w:rsidRPr="007D1096">
        <w:rPr>
          <w:rFonts w:ascii="Arial" w:hAnsi="Arial" w:cs="Arial"/>
          <w:color w:val="000000"/>
        </w:rPr>
        <w:t>účtenky identifikoval e-mailem) nebo</w:t>
      </w:r>
      <w:r>
        <w:rPr>
          <w:rFonts w:ascii="Arial" w:hAnsi="Arial" w:cs="Arial"/>
          <w:color w:val="000000"/>
        </w:rPr>
        <w:t>,</w:t>
      </w:r>
    </w:p>
    <w:p w:rsidR="00B00B87" w:rsidRDefault="00B00B87" w:rsidP="00B00B87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color w:val="000000"/>
        </w:rPr>
      </w:pPr>
      <w:r w:rsidRPr="007D1096">
        <w:rPr>
          <w:rFonts w:ascii="Arial" w:hAnsi="Arial" w:cs="Arial"/>
          <w:color w:val="000000"/>
        </w:rPr>
        <w:t>v Hráčském účtu, má-li jej Hráč zřízen.</w:t>
      </w:r>
    </w:p>
    <w:p w:rsidR="00B00B87" w:rsidRPr="00336A29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evidovat tržby má podnikatel, který přijímá „evidované tržby“. Evidovanou tržbou je platba v hotovosti, platební kartou nebo jiným obdobným způsobem, která zahrnuje příjem z podnikání a nevztahuje se na ni výjimka dle </w:t>
      </w:r>
      <w:r w:rsidRPr="00057747">
        <w:rPr>
          <w:rFonts w:ascii="Arial" w:hAnsi="Arial" w:cs="Arial"/>
        </w:rPr>
        <w:t>zákona č. 112/2016 Sb. o evidenci tržeb, v platném znění, (dále jen „</w:t>
      </w:r>
      <w:proofErr w:type="spellStart"/>
      <w:r w:rsidRPr="00057747">
        <w:rPr>
          <w:rFonts w:ascii="Arial" w:hAnsi="Arial" w:cs="Arial"/>
        </w:rPr>
        <w:t>ZoET</w:t>
      </w:r>
      <w:proofErr w:type="spellEnd"/>
      <w:r w:rsidRPr="00057747">
        <w:rPr>
          <w:rFonts w:ascii="Arial" w:hAnsi="Arial" w:cs="Arial"/>
        </w:rPr>
        <w:t>“)</w:t>
      </w:r>
      <w:r>
        <w:rPr>
          <w:rFonts w:ascii="Arial" w:hAnsi="Arial" w:cs="Arial"/>
        </w:rPr>
        <w:t>. Evidenci tržeb naopak nepodléhají platby realizované přímo převodem z účtu na účet nebo inkasem.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Poplatník je na základě § 18 odst. 1 </w:t>
      </w:r>
      <w:proofErr w:type="spellStart"/>
      <w:r>
        <w:rPr>
          <w:rFonts w:ascii="Arial" w:hAnsi="Arial" w:cs="Arial"/>
        </w:rPr>
        <w:t>ZoET</w:t>
      </w:r>
      <w:proofErr w:type="spellEnd"/>
      <w:r>
        <w:rPr>
          <w:rFonts w:ascii="Arial" w:hAnsi="Arial" w:cs="Arial"/>
        </w:rPr>
        <w:t xml:space="preserve"> povinen nejpozději při uskutečnění evidované tržby zaslat datovou zprávou údaje o této evidované tržbě správci daně a vystavit účtenku tomu, od koho evidovaná tržba plyne.</w:t>
      </w:r>
    </w:p>
    <w:p w:rsidR="00B00B87" w:rsidRPr="00336A29" w:rsidRDefault="00B00B87" w:rsidP="00B00B87">
      <w:pPr>
        <w:shd w:val="clear" w:color="auto" w:fill="FFFFFF"/>
        <w:spacing w:after="100" w:afterAutospacing="1"/>
        <w:jc w:val="both"/>
        <w:rPr>
          <w:rFonts w:ascii="Arial" w:hAnsi="Arial" w:cs="Arial"/>
          <w:bCs/>
          <w:u w:val="single"/>
        </w:rPr>
      </w:pPr>
      <w:r w:rsidRPr="00336A29">
        <w:rPr>
          <w:rFonts w:ascii="Arial" w:hAnsi="Arial" w:cs="Arial"/>
          <w:bCs/>
          <w:u w:val="single"/>
        </w:rPr>
        <w:t xml:space="preserve">Poplatník je </w:t>
      </w:r>
      <w:r>
        <w:rPr>
          <w:rFonts w:ascii="Arial" w:hAnsi="Arial" w:cs="Arial"/>
          <w:bCs/>
          <w:u w:val="single"/>
        </w:rPr>
        <w:t>povinen</w:t>
      </w:r>
      <w:r w:rsidRPr="00336A29">
        <w:rPr>
          <w:rFonts w:ascii="Arial" w:hAnsi="Arial" w:cs="Arial"/>
          <w:bCs/>
          <w:u w:val="single"/>
        </w:rPr>
        <w:t xml:space="preserve"> na účtence uvádět údaje (§ 20 </w:t>
      </w:r>
      <w:proofErr w:type="spellStart"/>
      <w:r w:rsidRPr="00336A29">
        <w:rPr>
          <w:rFonts w:ascii="Arial" w:hAnsi="Arial" w:cs="Arial"/>
          <w:bCs/>
          <w:u w:val="single"/>
        </w:rPr>
        <w:t>ZoET</w:t>
      </w:r>
      <w:proofErr w:type="spellEnd"/>
      <w:r w:rsidRPr="00336A29">
        <w:rPr>
          <w:rFonts w:ascii="Arial" w:hAnsi="Arial" w:cs="Arial"/>
          <w:bCs/>
          <w:u w:val="single"/>
        </w:rPr>
        <w:t>):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fiskální identifikační kód (FIK)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své daňové identifikační číslo (DIČ) podnikatele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označení provozovny, ve které je tržba uskutečněna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označení pokladního zařízení, na kterém je tržba evidována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pořadové číslo účtenky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datum a čas přijetí tržby nebo vystavení účtenky, pokud je vystavena dříve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celkovou částku tržby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bezpečnostní kód poplatníka (BKP)</w:t>
      </w:r>
    </w:p>
    <w:p w:rsidR="00B00B87" w:rsidRPr="00336A29" w:rsidRDefault="00B00B87" w:rsidP="00B00B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údaj, zda je tržba evidována v běžném nebo zjednodušeném režimu</w:t>
      </w:r>
    </w:p>
    <w:p w:rsidR="00B00B87" w:rsidRPr="00336A29" w:rsidRDefault="00B00B87" w:rsidP="00B00B8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 xml:space="preserve">Údajem o evidované tržbě uváděným na účtence je také daňové identifikační číslo (DIČ) poplatníka, který pověřil evidováním této tržby poplatníka, který tržbu eviduje. </w:t>
      </w:r>
    </w:p>
    <w:p w:rsidR="00B00B87" w:rsidRPr="00336A29" w:rsidRDefault="00B00B87" w:rsidP="00B00B8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336A29">
        <w:rPr>
          <w:rFonts w:ascii="Arial" w:hAnsi="Arial" w:cs="Arial"/>
        </w:rPr>
        <w:t>Nemá-li podnikatel povinnost uvádět na účtence fiskální identifikační kód (FIK), je povi</w:t>
      </w:r>
      <w:r>
        <w:rPr>
          <w:rFonts w:ascii="Arial" w:hAnsi="Arial" w:cs="Arial"/>
        </w:rPr>
        <w:t>nen na </w:t>
      </w:r>
      <w:r w:rsidRPr="00336A29">
        <w:rPr>
          <w:rFonts w:ascii="Arial" w:hAnsi="Arial" w:cs="Arial"/>
        </w:rPr>
        <w:t>účtence uvádět svůj podpisový kód (PKP).</w:t>
      </w:r>
    </w:p>
    <w:p w:rsidR="00B00B87" w:rsidRPr="0005774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u w:val="single"/>
        </w:rPr>
      </w:pPr>
      <w:r w:rsidRPr="00057747">
        <w:rPr>
          <w:rFonts w:ascii="Arial" w:hAnsi="Arial" w:cs="Arial"/>
          <w:u w:val="single"/>
        </w:rPr>
        <w:t xml:space="preserve">Zároveň je poplatník na základě ustanovení § 19 odst. 1 zákona </w:t>
      </w:r>
      <w:proofErr w:type="spellStart"/>
      <w:r w:rsidRPr="00057747">
        <w:rPr>
          <w:rFonts w:ascii="Arial" w:hAnsi="Arial" w:cs="Arial"/>
          <w:u w:val="single"/>
        </w:rPr>
        <w:t>ZoET</w:t>
      </w:r>
      <w:proofErr w:type="spellEnd"/>
      <w:r w:rsidRPr="00057747">
        <w:rPr>
          <w:rFonts w:ascii="Arial" w:hAnsi="Arial" w:cs="Arial"/>
          <w:u w:val="single"/>
        </w:rPr>
        <w:t xml:space="preserve"> povinen zasílat</w:t>
      </w:r>
    </w:p>
    <w:p w:rsidR="00B00B87" w:rsidRPr="0005774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u w:val="single"/>
        </w:rPr>
      </w:pPr>
      <w:r w:rsidRPr="00057747">
        <w:rPr>
          <w:rFonts w:ascii="Arial" w:hAnsi="Arial" w:cs="Arial"/>
          <w:u w:val="single"/>
        </w:rPr>
        <w:t>datovou zprávou údaje o evidované tržbě: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daňové identifikační číslo poplatníka,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označení provozovny, ve které je tržba uskutečněna,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označení pokladního zařízení, na kterém je tržba evidována,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pořadové číslo účtenky,</w:t>
      </w:r>
    </w:p>
    <w:p w:rsidR="00B00B87" w:rsidRPr="00336A29" w:rsidRDefault="00B00B87" w:rsidP="00B00B87">
      <w:pPr>
        <w:autoSpaceDE w:val="0"/>
        <w:autoSpaceDN w:val="0"/>
        <w:adjustRightInd w:val="0"/>
        <w:jc w:val="both"/>
        <w:rPr>
          <w:rFonts w:ascii="Arial,Bold" w:hAnsi="Arial,Bold" w:cs="Arial,Bold"/>
          <w:bCs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</w:r>
      <w:r w:rsidRPr="00336A29">
        <w:rPr>
          <w:rFonts w:ascii="Arial,Bold" w:hAnsi="Arial,Bold" w:cs="Arial,Bold"/>
          <w:bCs/>
        </w:rPr>
        <w:t>datum a čas přijetí tržby nebo vystavení účtenky, pokud je vystavena dříve,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celková částka tržby,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bezpečnostní kód poplatníka,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podpisový kód poplatníka,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údaj, zda je tržba evidována v běžném nebo zjednodušeném režimu.</w:t>
      </w:r>
    </w:p>
    <w:p w:rsidR="00B00B87" w:rsidRPr="0005774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u w:val="single"/>
        </w:rPr>
      </w:pPr>
      <w:r w:rsidRPr="00057747">
        <w:rPr>
          <w:rFonts w:ascii="Arial" w:hAnsi="Arial" w:cs="Arial"/>
          <w:u w:val="single"/>
        </w:rPr>
        <w:t xml:space="preserve">Při zadávání účtenky do registračního formuláře </w:t>
      </w:r>
      <w:proofErr w:type="spellStart"/>
      <w:r w:rsidRPr="00057747">
        <w:rPr>
          <w:rFonts w:ascii="Arial" w:hAnsi="Arial" w:cs="Arial"/>
          <w:u w:val="single"/>
        </w:rPr>
        <w:t>účtenkové</w:t>
      </w:r>
      <w:proofErr w:type="spellEnd"/>
      <w:r w:rsidRPr="00057747">
        <w:rPr>
          <w:rFonts w:ascii="Arial" w:hAnsi="Arial" w:cs="Arial"/>
          <w:u w:val="single"/>
        </w:rPr>
        <w:t xml:space="preserve"> loterie se zadávají níže uvedené</w:t>
      </w:r>
      <w:r>
        <w:rPr>
          <w:rFonts w:ascii="Arial" w:hAnsi="Arial" w:cs="Arial"/>
          <w:u w:val="single"/>
        </w:rPr>
        <w:t xml:space="preserve"> </w:t>
      </w:r>
      <w:r w:rsidRPr="00057747">
        <w:rPr>
          <w:rFonts w:ascii="Arial" w:hAnsi="Arial" w:cs="Arial"/>
          <w:u w:val="single"/>
        </w:rPr>
        <w:t>údaje: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daňové identifikační číslo poplatníka,</w:t>
      </w:r>
    </w:p>
    <w:p w:rsidR="00B00B87" w:rsidRPr="00F67E39" w:rsidRDefault="00B00B87" w:rsidP="00B00B87">
      <w:pPr>
        <w:autoSpaceDE w:val="0"/>
        <w:autoSpaceDN w:val="0"/>
        <w:adjustRightInd w:val="0"/>
        <w:jc w:val="both"/>
        <w:rPr>
          <w:rFonts w:ascii="Arial,Bold" w:hAnsi="Arial,Bold" w:cs="Arial,Bold"/>
          <w:bCs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</w:r>
      <w:r w:rsidRPr="00F67E39">
        <w:rPr>
          <w:rFonts w:ascii="Arial,Bold" w:hAnsi="Arial,Bold" w:cs="Arial,Bold"/>
          <w:bCs/>
        </w:rPr>
        <w:t>datum přijetí tržby,</w:t>
      </w:r>
    </w:p>
    <w:p w:rsidR="00B00B87" w:rsidRPr="00F67E39" w:rsidRDefault="00B00B87" w:rsidP="00B00B87">
      <w:pPr>
        <w:autoSpaceDE w:val="0"/>
        <w:autoSpaceDN w:val="0"/>
        <w:adjustRightInd w:val="0"/>
        <w:jc w:val="both"/>
        <w:rPr>
          <w:rFonts w:ascii="Arial,Bold" w:hAnsi="Arial,Bold" w:cs="Arial,Bold"/>
          <w:bCs/>
        </w:rPr>
      </w:pPr>
      <w:r w:rsidRPr="00F67E39">
        <w:rPr>
          <w:rFonts w:ascii="Arial" w:hAnsi="Arial" w:cs="Arial"/>
        </w:rPr>
        <w:t xml:space="preserve">• </w:t>
      </w:r>
      <w:r w:rsidRPr="00F67E39">
        <w:rPr>
          <w:rFonts w:ascii="Arial" w:hAnsi="Arial" w:cs="Arial"/>
        </w:rPr>
        <w:tab/>
      </w:r>
      <w:r w:rsidRPr="00F67E39">
        <w:rPr>
          <w:rFonts w:ascii="Arial,Bold" w:hAnsi="Arial,Bold" w:cs="Arial,Bold"/>
          <w:bCs/>
        </w:rPr>
        <w:t>čas přijetí tržby,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celková částka tržby v Kč,</w:t>
      </w:r>
    </w:p>
    <w:p w:rsidR="00B00B87" w:rsidRDefault="00B00B87" w:rsidP="00B00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fiskální identifikační kód (pokud jej účtenka obsahuje),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ab/>
        <w:t>bezpečnostní kód poplatníka (pokud účtenka neobsahuje fiskální identifikační kód).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výše uvedených ustanovení vyplývá, že údaje zaslané jak v datové zprávě na společné technické zařízení, ale i údaje vytištěné na účtence, tak údaje, které jsou nutné pro registraci účtenky do </w:t>
      </w:r>
      <w:proofErr w:type="spellStart"/>
      <w:r>
        <w:rPr>
          <w:rFonts w:ascii="Arial" w:hAnsi="Arial" w:cs="Arial"/>
        </w:rPr>
        <w:t>účtenkové</w:t>
      </w:r>
      <w:proofErr w:type="spellEnd"/>
      <w:r>
        <w:rPr>
          <w:rFonts w:ascii="Arial" w:hAnsi="Arial" w:cs="Arial"/>
        </w:rPr>
        <w:t xml:space="preserve"> loterie, se musí shodovat. Pokud se některý z těchto údajů neshoduje, takovou účtenku nelze ověřit. Důvodem neúspěšné registrace může být chyba na straně zadávajícího z důvodu nesprávného uvedení požadovaných údajů, proto doporučujeme zadané údaje řádně zkontrolovat a případně zadání opakovat. Chyba může být také </w:t>
      </w:r>
      <w:r>
        <w:rPr>
          <w:rFonts w:ascii="Arial" w:hAnsi="Arial" w:cs="Arial"/>
        </w:rPr>
        <w:lastRenderedPageBreak/>
        <w:t xml:space="preserve">na straně poplatníka nebo jeho pokladního zařízení. Finanční správa dlouhodobě apeluje na výrobce pokladních zařízení, aby dbali na zajištění souladu údajů zasílaných datovou zprávou správci daně a údajů uváděných na účtence. </w:t>
      </w:r>
    </w:p>
    <w:p w:rsidR="00B00B87" w:rsidRDefault="00B00B87" w:rsidP="00B00B87">
      <w:pPr>
        <w:autoSpaceDE w:val="0"/>
        <w:autoSpaceDN w:val="0"/>
        <w:spacing w:after="100" w:afterAutospacing="1"/>
        <w:jc w:val="both"/>
      </w:pPr>
      <w:r w:rsidRPr="009504D5">
        <w:rPr>
          <w:rFonts w:ascii="Arial" w:hAnsi="Arial" w:cs="Arial"/>
        </w:rPr>
        <w:t>Při kontrolní činnosti jsou obchodníci upozorňováni mimo jiné i na to, že je jejich povinností, aby měli správně nastaveno pokladní zařízení tak, aby řádně</w:t>
      </w:r>
      <w:r>
        <w:rPr>
          <w:rFonts w:ascii="Arial" w:hAnsi="Arial" w:cs="Arial"/>
        </w:rPr>
        <w:t xml:space="preserve"> plnili povinnosti dle zákona o </w:t>
      </w:r>
      <w:r w:rsidRPr="009504D5">
        <w:rPr>
          <w:rFonts w:ascii="Arial" w:hAnsi="Arial" w:cs="Arial"/>
        </w:rPr>
        <w:t>evidenci tržeb. Jinak se vystavují riziku sankce.</w:t>
      </w:r>
    </w:p>
    <w:p w:rsidR="00B00B87" w:rsidRDefault="00B00B87" w:rsidP="00B00B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411DDA">
        <w:rPr>
          <w:rFonts w:ascii="Arial" w:hAnsi="Arial" w:cs="Arial"/>
        </w:rPr>
        <w:t>Finanční správa</w:t>
      </w:r>
      <w:r>
        <w:rPr>
          <w:rFonts w:ascii="Arial" w:hAnsi="Arial" w:cs="Arial"/>
        </w:rPr>
        <w:t xml:space="preserve"> Vám nemůže poskytnout konkrétní informace o konkrétním daňovém subjektu</w:t>
      </w:r>
      <w:r w:rsidRPr="00411DDA">
        <w:rPr>
          <w:rFonts w:ascii="Arial" w:hAnsi="Arial" w:cs="Arial"/>
        </w:rPr>
        <w:t xml:space="preserve">, a to z důvodu </w:t>
      </w:r>
      <w:r>
        <w:rPr>
          <w:rFonts w:ascii="Arial" w:hAnsi="Arial" w:cs="Arial"/>
        </w:rPr>
        <w:t xml:space="preserve">povinnosti </w:t>
      </w:r>
      <w:r w:rsidRPr="00411DDA">
        <w:rPr>
          <w:rFonts w:ascii="Arial" w:hAnsi="Arial" w:cs="Arial"/>
        </w:rPr>
        <w:t>zachovávat mlčenlivost ve smyslu ustanovení § 52 zákona č. 280/2009 Sb., daňový řád,</w:t>
      </w:r>
      <w:r>
        <w:rPr>
          <w:rFonts w:ascii="Arial" w:hAnsi="Arial" w:cs="Arial"/>
        </w:rPr>
        <w:t xml:space="preserve"> </w:t>
      </w:r>
      <w:r w:rsidRPr="00411DDA">
        <w:rPr>
          <w:rFonts w:ascii="Arial" w:hAnsi="Arial" w:cs="Arial"/>
        </w:rPr>
        <w:t>ve znění pozdějších předpisů, dále jen „daňový řád.</w:t>
      </w:r>
      <w:r>
        <w:rPr>
          <w:rFonts w:ascii="Arial" w:hAnsi="Arial" w:cs="Arial"/>
        </w:rPr>
        <w:t xml:space="preserve"> V obecné rovině však platí, že účtenku, která obsahuje údaje, které nekorespondují s údaji odesílanými správci daně, a není tudíž ani dohledatelná prostřednictvím aplikace Ověření účtenky, nelze dle herního plánu </w:t>
      </w:r>
      <w:proofErr w:type="spellStart"/>
      <w:r>
        <w:rPr>
          <w:rFonts w:ascii="Arial" w:hAnsi="Arial" w:cs="Arial"/>
        </w:rPr>
        <w:t>účtenkové</w:t>
      </w:r>
      <w:proofErr w:type="spellEnd"/>
      <w:r>
        <w:rPr>
          <w:rFonts w:ascii="Arial" w:hAnsi="Arial" w:cs="Arial"/>
        </w:rPr>
        <w:t xml:space="preserve"> loterie zařadit do slosování.</w:t>
      </w:r>
    </w:p>
    <w:p w:rsidR="00C9446D" w:rsidRDefault="00C9446D"/>
    <w:sectPr w:rsidR="00C9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389"/>
    <w:multiLevelType w:val="hybridMultilevel"/>
    <w:tmpl w:val="A66856A6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F5141B9"/>
    <w:multiLevelType w:val="hybridMultilevel"/>
    <w:tmpl w:val="2232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26715"/>
    <w:multiLevelType w:val="multilevel"/>
    <w:tmpl w:val="AD2E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41E0B"/>
    <w:multiLevelType w:val="hybridMultilevel"/>
    <w:tmpl w:val="9ADC9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87"/>
    <w:rsid w:val="00912B8C"/>
    <w:rsid w:val="00B00B87"/>
    <w:rsid w:val="00C9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B8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0B8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B8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0B8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5187</Characters>
  <Application>Microsoft Office Word</Application>
  <DocSecurity>0</DocSecurity>
  <Lines>43</Lines>
  <Paragraphs>12</Paragraphs>
  <ScaleCrop>false</ScaleCrop>
  <Company>Finanční správa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Lucie Mgr.</dc:creator>
  <cp:lastModifiedBy>Čechová Lucie Mgr.</cp:lastModifiedBy>
  <cp:revision>2</cp:revision>
  <dcterms:created xsi:type="dcterms:W3CDTF">2017-12-18T14:33:00Z</dcterms:created>
  <dcterms:modified xsi:type="dcterms:W3CDTF">2017-12-19T12:13:00Z</dcterms:modified>
</cp:coreProperties>
</file>