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7582A" w14:textId="5C459D73" w:rsidR="00C10B75" w:rsidRDefault="00C10B75" w:rsidP="000038C5">
      <w:pPr>
        <w:jc w:val="both"/>
      </w:pPr>
      <w:r w:rsidRPr="00360083">
        <w:rPr>
          <w:b/>
          <w:bCs/>
        </w:rPr>
        <w:t xml:space="preserve">Nově je dostupný </w:t>
      </w:r>
      <w:r w:rsidR="00360083">
        <w:rPr>
          <w:b/>
          <w:bCs/>
        </w:rPr>
        <w:t>návrh tiskopisů</w:t>
      </w:r>
      <w:r w:rsidRPr="00360083">
        <w:rPr>
          <w:b/>
          <w:bCs/>
        </w:rPr>
        <w:t xml:space="preserve"> daňového přiznání </w:t>
      </w:r>
      <w:r w:rsidR="00360083">
        <w:rPr>
          <w:b/>
          <w:bCs/>
        </w:rPr>
        <w:t xml:space="preserve">a informačního přehledu </w:t>
      </w:r>
      <w:r w:rsidRPr="00360083">
        <w:rPr>
          <w:b/>
          <w:bCs/>
        </w:rPr>
        <w:t>k dorovnávacím daním</w:t>
      </w:r>
    </w:p>
    <w:p w14:paraId="21668973" w14:textId="1B0B7BEB" w:rsidR="00C10B75" w:rsidRDefault="00C10B75" w:rsidP="000038C5">
      <w:pPr>
        <w:jc w:val="both"/>
      </w:pPr>
      <w:r w:rsidRPr="00C10B75">
        <w:t>Dorovnávací daně, známé jako Pilíř 2, mají zajistit, aby velké podnikové skupiny odváděly v každé zemi, kde působí, daň alespoň ve výši 15 %. Pokud je jejich efektivní zdanění nižší, rozdíl se dorovnává. V České republice tuto oblast upravuje zákon č. 416/2023 Sb. a pravidla se týkají především velkých nadnárodních a vnitrostátních skupin.</w:t>
      </w:r>
      <w:r>
        <w:t xml:space="preserve"> </w:t>
      </w:r>
    </w:p>
    <w:p w14:paraId="2A366CD1" w14:textId="067EC5F4" w:rsidR="000038C5" w:rsidRDefault="00360083" w:rsidP="000038C5">
      <w:pPr>
        <w:jc w:val="both"/>
      </w:pPr>
      <w:r>
        <w:t xml:space="preserve">Informační přehled pro vstupní období se podává do </w:t>
      </w:r>
      <w:r w:rsidRPr="00693E97">
        <w:t>18 měsíců po uplynutí zdaňovacího období</w:t>
      </w:r>
      <w:r>
        <w:t xml:space="preserve">. </w:t>
      </w:r>
      <w:r w:rsidR="000038C5">
        <w:t>Daňové přiznání se podává do 22 měsíců po skončení příslušného výkazního období (např.</w:t>
      </w:r>
      <w:r w:rsidR="00C6518C">
        <w:t> </w:t>
      </w:r>
      <w:r w:rsidR="000038C5">
        <w:t>pro</w:t>
      </w:r>
      <w:r w:rsidR="00C6518C">
        <w:t> </w:t>
      </w:r>
      <w:r w:rsidR="000038C5">
        <w:t xml:space="preserve">období odpovídající kalendářnímu roku 2024 připadá lhůta </w:t>
      </w:r>
      <w:r>
        <w:t xml:space="preserve">pro podání informačního přehledu na konec </w:t>
      </w:r>
      <w:r w:rsidR="00650B7D">
        <w:t>června</w:t>
      </w:r>
      <w:r>
        <w:t xml:space="preserve"> a pro daňové přiznání </w:t>
      </w:r>
      <w:r w:rsidR="000038C5">
        <w:t xml:space="preserve">na konec října 2026). </w:t>
      </w:r>
    </w:p>
    <w:p w14:paraId="334228A5" w14:textId="2AE26854" w:rsidR="00C10B75" w:rsidRDefault="00C10B75" w:rsidP="00C10B75">
      <w:pPr>
        <w:jc w:val="both"/>
      </w:pPr>
      <w:r>
        <w:t xml:space="preserve">Daňové přiznání </w:t>
      </w:r>
      <w:r w:rsidR="00360083">
        <w:t xml:space="preserve">i informační přehled </w:t>
      </w:r>
      <w:r>
        <w:t>k dorovnávacím daním bud</w:t>
      </w:r>
      <w:r w:rsidR="00360083">
        <w:t>ou</w:t>
      </w:r>
      <w:r>
        <w:t xml:space="preserve"> podáván</w:t>
      </w:r>
      <w:r w:rsidR="00360083">
        <w:t>y</w:t>
      </w:r>
      <w:r>
        <w:t xml:space="preserve"> </w:t>
      </w:r>
      <w:r w:rsidR="00360083">
        <w:t xml:space="preserve">výhradně </w:t>
      </w:r>
      <w:r>
        <w:t>elektronicky, a to na předepsaném formuláři se stanovenou strukturou a povinnými údaji. Nejde tedy o volně vytvořený dokument, ale o formulářové podání v jednotném formátu.</w:t>
      </w:r>
      <w:r w:rsidR="00360083">
        <w:t xml:space="preserve"> </w:t>
      </w:r>
      <w:r w:rsidR="00360083" w:rsidRPr="00693E97">
        <w:t>Formulář pro podání informačního přehledu bude k dispozici na Portálu MOJE daně a jeho nedílnou součástí je příloha v XML formátu ve struktuře OECD pro tzv. GloBE Information Return.</w:t>
      </w:r>
    </w:p>
    <w:p w14:paraId="6C64F7EC" w14:textId="26B40327" w:rsidR="00C10B75" w:rsidRDefault="00C10B75" w:rsidP="00C10B75">
      <w:pPr>
        <w:jc w:val="both"/>
      </w:pPr>
      <w:r>
        <w:t>Je zároveň třeba zdůraznit, že pro samotné podání je nutné vyčkat na vydání formulářové vyhlášky Ministerstva financí. Nyní zveřejněná podoba tiskopisů je pouze předpokládaná a finanční správa ji zveřejňuje proto, aby měli poplatníci více času se na podání připravit.</w:t>
      </w:r>
    </w:p>
    <w:p w14:paraId="5E378EC4" w14:textId="100BE354" w:rsidR="00D440E1" w:rsidRPr="006E217F" w:rsidRDefault="00D440E1" w:rsidP="00D440E1">
      <w:pPr>
        <w:jc w:val="both"/>
      </w:pPr>
      <w:r w:rsidRPr="00693E97">
        <w:t>Poplatník dorovnávací</w:t>
      </w:r>
      <w:r w:rsidR="001F41CF">
        <w:t>ch</w:t>
      </w:r>
      <w:r w:rsidRPr="00693E97">
        <w:t xml:space="preserve"> dan</w:t>
      </w:r>
      <w:r w:rsidR="001F41CF">
        <w:t>í</w:t>
      </w:r>
      <w:r w:rsidRPr="00693E97">
        <w:t xml:space="preserve"> může ve lhůtě pro podání informačního přehledu podat také oznámení o splnění výjimky z podání informačního přehledu. Toto oznámení nemá charakter formulářového podání, lze je tedy učinit volnou formou; pro zjednodušení lze nicméně využít i stejný formulář, který je určen pro podání informačního přehledu a je dostupný na Portálu MOJE daně.</w:t>
      </w:r>
    </w:p>
    <w:sectPr w:rsidR="00D440E1" w:rsidRPr="006E21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8C5"/>
    <w:rsid w:val="000026E9"/>
    <w:rsid w:val="000038C5"/>
    <w:rsid w:val="00033278"/>
    <w:rsid w:val="0007471A"/>
    <w:rsid w:val="00186149"/>
    <w:rsid w:val="001C6317"/>
    <w:rsid w:val="001F41CF"/>
    <w:rsid w:val="00207C93"/>
    <w:rsid w:val="00210624"/>
    <w:rsid w:val="00222FF9"/>
    <w:rsid w:val="002F7D90"/>
    <w:rsid w:val="00360083"/>
    <w:rsid w:val="004023BC"/>
    <w:rsid w:val="004B293C"/>
    <w:rsid w:val="004E6636"/>
    <w:rsid w:val="00574BC8"/>
    <w:rsid w:val="00574FE4"/>
    <w:rsid w:val="00594397"/>
    <w:rsid w:val="00630E6F"/>
    <w:rsid w:val="00650B7D"/>
    <w:rsid w:val="0068316A"/>
    <w:rsid w:val="007E7448"/>
    <w:rsid w:val="007F6321"/>
    <w:rsid w:val="007F7214"/>
    <w:rsid w:val="00834DE9"/>
    <w:rsid w:val="0089059A"/>
    <w:rsid w:val="009E21CD"/>
    <w:rsid w:val="009F380F"/>
    <w:rsid w:val="00A438EB"/>
    <w:rsid w:val="00C10B75"/>
    <w:rsid w:val="00C279CB"/>
    <w:rsid w:val="00C6518C"/>
    <w:rsid w:val="00CB6C4D"/>
    <w:rsid w:val="00D23D52"/>
    <w:rsid w:val="00D262BD"/>
    <w:rsid w:val="00D440E1"/>
    <w:rsid w:val="00D726CC"/>
    <w:rsid w:val="00E3549C"/>
    <w:rsid w:val="00EC1AC8"/>
    <w:rsid w:val="00F0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211C"/>
  <w15:chartTrackingRefBased/>
  <w15:docId w15:val="{DAE078B1-E4CC-4D61-914F-D14D6602B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38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38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38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38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38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38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38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38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38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38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38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38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38C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38C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38C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38C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38C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38C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38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38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38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38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38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38C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38C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38C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38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38C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38C5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A438E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438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38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38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38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38EB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CB6C4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6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Šlapák Petr Ing. (GFŘ)</dc:creator>
  <cp:keywords/>
  <dc:description/>
  <cp:lastModifiedBy>Šlapák Petr Ing. (GFŘ)</cp:lastModifiedBy>
  <cp:revision>2</cp:revision>
  <dcterms:created xsi:type="dcterms:W3CDTF">2026-05-11T11:50:00Z</dcterms:created>
  <dcterms:modified xsi:type="dcterms:W3CDTF">2026-05-11T11:50:00Z</dcterms:modified>
</cp:coreProperties>
</file>