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B99D8" w14:textId="77777777" w:rsidR="00B64C32" w:rsidRPr="00B64C32" w:rsidRDefault="00B64C32" w:rsidP="00B64C32">
      <w:pPr>
        <w:rPr>
          <w:b/>
          <w:bCs/>
        </w:rPr>
      </w:pPr>
      <w:r w:rsidRPr="00B64C32">
        <w:rPr>
          <w:b/>
          <w:bCs/>
        </w:rPr>
        <w:t>Sdělení pro tuzemské osoby registrované do přeshraničního režimu DPH pro malé podniky</w:t>
      </w:r>
    </w:p>
    <w:p w14:paraId="2BC9A48C" w14:textId="77777777" w:rsidR="00B64C32" w:rsidRPr="00B64C32" w:rsidRDefault="00B64C32" w:rsidP="00B64C32">
      <w:r w:rsidRPr="00B64C32">
        <w:rPr>
          <w:b/>
          <w:bCs/>
        </w:rPr>
        <w:t>Generální finanční ředitelství připomíná:</w:t>
      </w:r>
    </w:p>
    <w:p w14:paraId="71BA67B9" w14:textId="77777777" w:rsidR="00B64C32" w:rsidRPr="00B64C32" w:rsidRDefault="00B64C32" w:rsidP="00B64C32">
      <w:pPr>
        <w:numPr>
          <w:ilvl w:val="0"/>
          <w:numId w:val="1"/>
        </w:numPr>
      </w:pPr>
      <w:r w:rsidRPr="00B64C32">
        <w:t>První </w:t>
      </w:r>
      <w:r w:rsidRPr="00B64C32">
        <w:rPr>
          <w:b/>
          <w:bCs/>
        </w:rPr>
        <w:t>Oznámení o výši obratů za kalendářní čtvrtletí v přeshraničním režimu DPH pro malé podniky je nutné podat do 30. 4. 2025.</w:t>
      </w:r>
    </w:p>
    <w:p w14:paraId="172A0E62" w14:textId="77777777" w:rsidR="00B64C32" w:rsidRPr="00B64C32" w:rsidRDefault="00B64C32" w:rsidP="00B64C32">
      <w:r w:rsidRPr="00B64C32">
        <w:t xml:space="preserve">Osobám registrovaným do přeshraničního režimu pro malé podniky pro jiný členský stát se </w:t>
      </w:r>
      <w:proofErr w:type="gramStart"/>
      <w:r w:rsidRPr="00B64C32">
        <w:t>blíží</w:t>
      </w:r>
      <w:proofErr w:type="gramEnd"/>
      <w:r w:rsidRPr="00B64C32">
        <w:t xml:space="preserve"> termín pro podání prvního </w:t>
      </w:r>
      <w:r w:rsidRPr="00B64C32">
        <w:rPr>
          <w:b/>
          <w:bCs/>
        </w:rPr>
        <w:t>Oznámení o výši obratů za kalendářní čtvrtletí v přeshraničním režimu DPH pro malé podniky (dále jen „čtvrtletní oznámení“)</w:t>
      </w:r>
      <w:r w:rsidRPr="00B64C32">
        <w:t xml:space="preserve">. Povinnost podat toto oznámení vzniká po skončení čtvrtletí, a to do konce kalendářního měsíce následujícího po skončení kalendářního čtvrtletí, kterého se oznámení týká. Čtvrtletní oznámení je nutno podat, i když se žádné plnění spadající do obratu neuskutečnilo. První kalendářní čtvrtletí </w:t>
      </w:r>
      <w:proofErr w:type="gramStart"/>
      <w:r w:rsidRPr="00B64C32">
        <w:t>končí</w:t>
      </w:r>
      <w:proofErr w:type="gramEnd"/>
      <w:r w:rsidRPr="00B64C32">
        <w:t xml:space="preserve"> dne 31. 3. 2025, proto poslední den pro podání prvního čtvrtletního oznámení je </w:t>
      </w:r>
      <w:r w:rsidRPr="00B64C32">
        <w:rPr>
          <w:b/>
          <w:bCs/>
        </w:rPr>
        <w:t>30. 4. 2025.</w:t>
      </w:r>
    </w:p>
    <w:p w14:paraId="437687EA" w14:textId="77777777" w:rsidR="00B64C32" w:rsidRPr="00B64C32" w:rsidRDefault="00B64C32" w:rsidP="00B64C32">
      <w:pPr>
        <w:numPr>
          <w:ilvl w:val="0"/>
          <w:numId w:val="2"/>
        </w:numPr>
      </w:pPr>
      <w:r w:rsidRPr="00B64C32">
        <w:t>Co je </w:t>
      </w:r>
      <w:r w:rsidRPr="00B64C32">
        <w:rPr>
          <w:b/>
          <w:bCs/>
        </w:rPr>
        <w:t>nutné do čtvrtletního oznámení uvést a proč věnovat pozornost prvnímu oznámení:</w:t>
      </w:r>
    </w:p>
    <w:p w14:paraId="3548EC55" w14:textId="77777777" w:rsidR="00B64C32" w:rsidRPr="00B64C32" w:rsidRDefault="00B64C32" w:rsidP="00B64C32">
      <w:r w:rsidRPr="00B64C32">
        <w:t>Do čtvrtletního oznámení je nutno uvést hodnoty obratu za všechny členské státy EU bez ohledu na registraci, včetně České republiky (tj. za všechny členské státy EU). A pokud jste registrováni do tohoto režimu v členském státě, který požaduje obrat za odvětví (např. Irsko), je nutné vyplnit hodnoty obratu i za příslušná odvětví. Při zadání daňového evidenčního čísla přiděleného v rozhodnutí o registraci do přeshraničního režimu pro malé podniky (DEČ SME) do čtvrtletního oznámení se v tomto případě zpřístupní řádky pro vyplnění hodnot obratu za tato odvětví.</w:t>
      </w:r>
    </w:p>
    <w:p w14:paraId="499F47EE" w14:textId="77777777" w:rsidR="00B64C32" w:rsidRPr="00B64C32" w:rsidRDefault="00B64C32" w:rsidP="00B64C32">
      <w:r w:rsidRPr="00B64C32">
        <w:t>Základ daně plnění, která spadají do obratu v příslušném členském státě, se ve čtvrtletním oznámení vyplňují v EUR. K převodu je nutno použít kurz zveřejněným Evropskou centrální bankou (ECB) platný pro první den kalendářního roku nebo platný pro nejbližší následující den. V roce 2025 byl kurz ECB zveřejněn dne 2. 1. 2025 a byl 25, 177 Kč/EUR. Tento kurz je nutno použít pro přepočet základu daně plnění zahrnovaných do obratů pro všechna čtvrtletí roku 2025.</w:t>
      </w:r>
    </w:p>
    <w:p w14:paraId="7E974123" w14:textId="77777777" w:rsidR="00B64C32" w:rsidRPr="00B64C32" w:rsidRDefault="00B64C32" w:rsidP="00B64C32">
      <w:r w:rsidRPr="00B64C32">
        <w:rPr>
          <w:b/>
          <w:bCs/>
        </w:rPr>
        <w:t>Upozorňujeme na specifická pravidla pro vyplnění údajů o obratech u prvního podávaného čtvrtletního oznámení po registraci. Proto před jeho vyplněním doporučujeme si pečlivě prostudovat pokyny k tomuto formuláři.</w:t>
      </w:r>
    </w:p>
    <w:p w14:paraId="0BAAC717" w14:textId="77777777" w:rsidR="00B64C32" w:rsidRPr="00B64C32" w:rsidRDefault="00B64C32" w:rsidP="00B64C32">
      <w:pPr>
        <w:numPr>
          <w:ilvl w:val="0"/>
          <w:numId w:val="3"/>
        </w:numPr>
      </w:pPr>
      <w:r w:rsidRPr="00B64C32">
        <w:t>Jak jsou </w:t>
      </w:r>
      <w:r w:rsidRPr="00B64C32">
        <w:rPr>
          <w:b/>
          <w:bCs/>
        </w:rPr>
        <w:t>údaje ze čtvrtletních oznámení sdíleny s jinými členskými státy:</w:t>
      </w:r>
    </w:p>
    <w:p w14:paraId="31A47C12" w14:textId="77777777" w:rsidR="00B64C32" w:rsidRPr="00B64C32" w:rsidRDefault="00B64C32" w:rsidP="00B64C32">
      <w:r w:rsidRPr="00B64C32">
        <w:t>Data o obratech uvedená ve čtvrtletním oznámení jsou předávána i do členských zemí, kde je osoba povinná k dani registrována, aby bylo ve státě osvobození možno průběžně ověřovat splnění podmínek osvobození od DPH v režimu pro malé podniky.</w:t>
      </w:r>
    </w:p>
    <w:p w14:paraId="0E3899A8" w14:textId="77777777" w:rsidR="00B64C32" w:rsidRPr="00B64C32" w:rsidRDefault="00B64C32" w:rsidP="00B64C32">
      <w:r w:rsidRPr="00B64C32">
        <w:t>Spolu s hodnotou obratu předává Česká republika do členských států osvobození i informaci, zda bylo čtvrtletní oznámení podáno v čas, tj. oznámení za první čtvrtletí bylo podáno nejpozději dne 30. 4. 2025 nebo zda podáno nebylo vůbec. Pokud osoba povinná k dani využívající osvobození pro malé podniky v jiném členském státě, neplní v členském státě svého usazení povinnosti spojené se čtvrtletním oznámením stanovené v souladu s čl. 284b směrnice 2006/112/ES o společném systému daně z přidané hodnoty, v platném znění (dále jen „směrnice o DPH“), může členský stát osvobození, podle čl. 284d odst. 3 směrnice o DPH požadovat, aby hodnota obratu byla oznamována zároveň prostřednictvím daňového přiznání k dani z přidané hodnoty podávané v členském státě osvobození.</w:t>
      </w:r>
    </w:p>
    <w:p w14:paraId="2C6B70B7" w14:textId="77777777" w:rsidR="00B64C32" w:rsidRPr="00B64C32" w:rsidRDefault="00B64C32" w:rsidP="00B64C32">
      <w:pPr>
        <w:numPr>
          <w:ilvl w:val="0"/>
          <w:numId w:val="4"/>
        </w:numPr>
      </w:pPr>
      <w:r w:rsidRPr="00B64C32">
        <w:rPr>
          <w:b/>
          <w:bCs/>
        </w:rPr>
        <w:t>Na co je třeba dát si zejména pozor:</w:t>
      </w:r>
    </w:p>
    <w:p w14:paraId="30CFD62D" w14:textId="77777777" w:rsidR="00B64C32" w:rsidRPr="00B64C32" w:rsidRDefault="00B64C32" w:rsidP="00B64C32">
      <w:r w:rsidRPr="00B64C32">
        <w:rPr>
          <w:b/>
          <w:bCs/>
        </w:rPr>
        <w:lastRenderedPageBreak/>
        <w:t>Podání čtvrtletního oznámení je neúčinné, pokud obsahuje jakékoliv vady podání, pro které není způsobilé k projednání. Takovou vadou je vedle nesprávného způsobu podání nebo nedodržení stanoveného formátu a struktury i například podání neoprávněnou osobou. </w:t>
      </w:r>
      <w:r w:rsidRPr="00B64C32">
        <w:t>Proto doporučujeme, aby si před tím, než začnou osoby registrované do přeshraničního režimu pro malé podniky pro jiný členský stát čtvrtletní oznámení podávat, zkontrolovaly případně udělená pověření nebo plné moci pro zastupování.</w:t>
      </w:r>
    </w:p>
    <w:p w14:paraId="305850F1" w14:textId="77777777" w:rsidR="00B64C32" w:rsidRPr="00B64C32" w:rsidRDefault="00B64C32" w:rsidP="00B64C32">
      <w:pPr>
        <w:numPr>
          <w:ilvl w:val="0"/>
          <w:numId w:val="5"/>
        </w:numPr>
      </w:pPr>
      <w:r w:rsidRPr="00B64C32">
        <w:t>A jaký je třeba dodržet </w:t>
      </w:r>
      <w:r w:rsidRPr="00B64C32">
        <w:rPr>
          <w:b/>
          <w:bCs/>
        </w:rPr>
        <w:t>formát a způsob podání čtvrtletního oznámení:</w:t>
      </w:r>
    </w:p>
    <w:p w14:paraId="47260A29" w14:textId="77777777" w:rsidR="00B64C32" w:rsidRPr="00B64C32" w:rsidRDefault="00B64C32" w:rsidP="00B64C32">
      <w:r w:rsidRPr="00B64C32">
        <w:t>Čtvrtletní oznámení lze podat správci daně pouze elektronicky přes Daňový portál „Moje daně“ (</w:t>
      </w:r>
      <w:hyperlink r:id="rId5" w:history="1">
        <w:r w:rsidRPr="00B64C32">
          <w:rPr>
            <w:rStyle w:val="Hypertextovodkaz"/>
          </w:rPr>
          <w:t>www.mojedane.cz</w:t>
        </w:r>
      </w:hyperlink>
      <w:r w:rsidRPr="00B64C32">
        <w:t>) a aplikaci Elektronická podání pro finanční správu (EPO), nebo prostřednictvím Daňové informační schránky (DiS). Čtvrtletní oznámení nelze podat přes datové schránky.  </w:t>
      </w:r>
    </w:p>
    <w:p w14:paraId="377BE046" w14:textId="77777777" w:rsidR="00A61B32" w:rsidRDefault="00A61B32"/>
    <w:sectPr w:rsidR="00A61B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B2D3D"/>
    <w:multiLevelType w:val="multilevel"/>
    <w:tmpl w:val="72106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0E6120"/>
    <w:multiLevelType w:val="multilevel"/>
    <w:tmpl w:val="98DA7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F90599"/>
    <w:multiLevelType w:val="multilevel"/>
    <w:tmpl w:val="D9BED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BA3788"/>
    <w:multiLevelType w:val="multilevel"/>
    <w:tmpl w:val="2480C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C47FBA"/>
    <w:multiLevelType w:val="multilevel"/>
    <w:tmpl w:val="95E87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8096876">
    <w:abstractNumId w:val="1"/>
  </w:num>
  <w:num w:numId="2" w16cid:durableId="2146576703">
    <w:abstractNumId w:val="3"/>
  </w:num>
  <w:num w:numId="3" w16cid:durableId="111363300">
    <w:abstractNumId w:val="0"/>
  </w:num>
  <w:num w:numId="4" w16cid:durableId="408239467">
    <w:abstractNumId w:val="2"/>
  </w:num>
  <w:num w:numId="5" w16cid:durableId="17356193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C32"/>
    <w:rsid w:val="00016DDD"/>
    <w:rsid w:val="004515F2"/>
    <w:rsid w:val="00A61B32"/>
    <w:rsid w:val="00B64C32"/>
    <w:rsid w:val="00C402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3E432"/>
  <w15:chartTrackingRefBased/>
  <w15:docId w15:val="{BC256AF8-A9F6-4AD7-83AB-1E6DD1F0B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B64C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B64C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B64C32"/>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B64C32"/>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B64C32"/>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B64C32"/>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B64C32"/>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B64C32"/>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B64C32"/>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64C32"/>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B64C32"/>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B64C32"/>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B64C32"/>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B64C32"/>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B64C32"/>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B64C32"/>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B64C32"/>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B64C32"/>
    <w:rPr>
      <w:rFonts w:eastAsiaTheme="majorEastAsia" w:cstheme="majorBidi"/>
      <w:color w:val="272727" w:themeColor="text1" w:themeTint="D8"/>
    </w:rPr>
  </w:style>
  <w:style w:type="paragraph" w:styleId="Nzev">
    <w:name w:val="Title"/>
    <w:basedOn w:val="Normln"/>
    <w:next w:val="Normln"/>
    <w:link w:val="NzevChar"/>
    <w:uiPriority w:val="10"/>
    <w:qFormat/>
    <w:rsid w:val="00B64C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B64C32"/>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B64C32"/>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B64C32"/>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B64C32"/>
    <w:pPr>
      <w:spacing w:before="160"/>
      <w:jc w:val="center"/>
    </w:pPr>
    <w:rPr>
      <w:i/>
      <w:iCs/>
      <w:color w:val="404040" w:themeColor="text1" w:themeTint="BF"/>
    </w:rPr>
  </w:style>
  <w:style w:type="character" w:customStyle="1" w:styleId="CittChar">
    <w:name w:val="Citát Char"/>
    <w:basedOn w:val="Standardnpsmoodstavce"/>
    <w:link w:val="Citt"/>
    <w:uiPriority w:val="29"/>
    <w:rsid w:val="00B64C32"/>
    <w:rPr>
      <w:i/>
      <w:iCs/>
      <w:color w:val="404040" w:themeColor="text1" w:themeTint="BF"/>
    </w:rPr>
  </w:style>
  <w:style w:type="paragraph" w:styleId="Odstavecseseznamem">
    <w:name w:val="List Paragraph"/>
    <w:basedOn w:val="Normln"/>
    <w:uiPriority w:val="34"/>
    <w:qFormat/>
    <w:rsid w:val="00B64C32"/>
    <w:pPr>
      <w:ind w:left="720"/>
      <w:contextualSpacing/>
    </w:pPr>
  </w:style>
  <w:style w:type="character" w:styleId="Zdraznnintenzivn">
    <w:name w:val="Intense Emphasis"/>
    <w:basedOn w:val="Standardnpsmoodstavce"/>
    <w:uiPriority w:val="21"/>
    <w:qFormat/>
    <w:rsid w:val="00B64C32"/>
    <w:rPr>
      <w:i/>
      <w:iCs/>
      <w:color w:val="0F4761" w:themeColor="accent1" w:themeShade="BF"/>
    </w:rPr>
  </w:style>
  <w:style w:type="paragraph" w:styleId="Vrazncitt">
    <w:name w:val="Intense Quote"/>
    <w:basedOn w:val="Normln"/>
    <w:next w:val="Normln"/>
    <w:link w:val="VrazncittChar"/>
    <w:uiPriority w:val="30"/>
    <w:qFormat/>
    <w:rsid w:val="00B64C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B64C32"/>
    <w:rPr>
      <w:i/>
      <w:iCs/>
      <w:color w:val="0F4761" w:themeColor="accent1" w:themeShade="BF"/>
    </w:rPr>
  </w:style>
  <w:style w:type="character" w:styleId="Odkazintenzivn">
    <w:name w:val="Intense Reference"/>
    <w:basedOn w:val="Standardnpsmoodstavce"/>
    <w:uiPriority w:val="32"/>
    <w:qFormat/>
    <w:rsid w:val="00B64C32"/>
    <w:rPr>
      <w:b/>
      <w:bCs/>
      <w:smallCaps/>
      <w:color w:val="0F4761" w:themeColor="accent1" w:themeShade="BF"/>
      <w:spacing w:val="5"/>
    </w:rPr>
  </w:style>
  <w:style w:type="character" w:styleId="Hypertextovodkaz">
    <w:name w:val="Hyperlink"/>
    <w:basedOn w:val="Standardnpsmoodstavce"/>
    <w:uiPriority w:val="99"/>
    <w:unhideWhenUsed/>
    <w:rsid w:val="00B64C32"/>
    <w:rPr>
      <w:color w:val="467886" w:themeColor="hyperlink"/>
      <w:u w:val="single"/>
    </w:rPr>
  </w:style>
  <w:style w:type="character" w:styleId="Nevyeenzmnka">
    <w:name w:val="Unresolved Mention"/>
    <w:basedOn w:val="Standardnpsmoodstavce"/>
    <w:uiPriority w:val="99"/>
    <w:semiHidden/>
    <w:unhideWhenUsed/>
    <w:rsid w:val="00B64C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633905">
      <w:bodyDiv w:val="1"/>
      <w:marLeft w:val="0"/>
      <w:marRight w:val="0"/>
      <w:marTop w:val="0"/>
      <w:marBottom w:val="0"/>
      <w:divBdr>
        <w:top w:val="none" w:sz="0" w:space="0" w:color="auto"/>
        <w:left w:val="none" w:sz="0" w:space="0" w:color="auto"/>
        <w:bottom w:val="none" w:sz="0" w:space="0" w:color="auto"/>
        <w:right w:val="none" w:sz="0" w:space="0" w:color="auto"/>
      </w:divBdr>
    </w:div>
    <w:div w:id="1196960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ojedane.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3af0315-609c-4c32-9ca6-30bf3ccca914}" enabled="1" method="Privileged" siteId="{d1ceb3ce-567d-4c20-bd5a-6276fbdfe51f}" contentBits="0" removed="0"/>
</clbl:labelList>
</file>

<file path=docProps/app.xml><?xml version="1.0" encoding="utf-8"?>
<Properties xmlns="http://schemas.openxmlformats.org/officeDocument/2006/extended-properties" xmlns:vt="http://schemas.openxmlformats.org/officeDocument/2006/docPropsVTypes">
  <Template>Normal</Template>
  <TotalTime>3</TotalTime>
  <Pages>2</Pages>
  <Words>610</Words>
  <Characters>3605</Characters>
  <Application>Microsoft Office Word</Application>
  <DocSecurity>0</DocSecurity>
  <Lines>30</Lines>
  <Paragraphs>8</Paragraphs>
  <ScaleCrop>false</ScaleCrop>
  <Company>GFR</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Lužný Jan Mgr. (GFŘ)</dc:creator>
  <cp:keywords/>
  <dc:description/>
  <cp:lastModifiedBy>Lužný Jan Mgr. (GFŘ)</cp:lastModifiedBy>
  <cp:revision>1</cp:revision>
  <dcterms:created xsi:type="dcterms:W3CDTF">2025-06-18T14:40:00Z</dcterms:created>
  <dcterms:modified xsi:type="dcterms:W3CDTF">2025-06-18T14:43:00Z</dcterms:modified>
</cp:coreProperties>
</file>