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85FB7" w14:textId="28ACFFA3" w:rsidR="00CF4FCF" w:rsidRPr="00BD1413" w:rsidRDefault="008B5C1F" w:rsidP="008B5C1F">
      <w:pPr>
        <w:jc w:val="center"/>
        <w:rPr>
          <w:rFonts w:ascii="Arial" w:hAnsi="Arial" w:cs="Arial"/>
          <w:b/>
          <w:bCs/>
          <w:sz w:val="24"/>
          <w:szCs w:val="24"/>
        </w:rPr>
      </w:pPr>
      <w:r w:rsidRPr="00BD1413">
        <w:rPr>
          <w:rFonts w:ascii="Arial" w:hAnsi="Arial" w:cs="Arial"/>
          <w:b/>
          <w:bCs/>
          <w:sz w:val="24"/>
          <w:szCs w:val="24"/>
        </w:rPr>
        <w:t>Sdělení pro zahraniční osoby – nové povinnosti u doručování v oblasti DPH</w:t>
      </w:r>
    </w:p>
    <w:p w14:paraId="53EACB43" w14:textId="70B71D64" w:rsidR="008B5C1F" w:rsidRPr="00944785" w:rsidRDefault="008B5C1F" w:rsidP="00944785">
      <w:pPr>
        <w:pStyle w:val="selnodrky"/>
        <w:numPr>
          <w:ilvl w:val="0"/>
          <w:numId w:val="0"/>
        </w:numPr>
        <w:spacing w:before="0" w:after="240"/>
        <w:rPr>
          <w:rFonts w:cs="Arial"/>
          <w:szCs w:val="22"/>
        </w:rPr>
      </w:pPr>
      <w:r w:rsidRPr="008B5C1F">
        <w:rPr>
          <w:rFonts w:cs="Arial"/>
          <w:szCs w:val="22"/>
        </w:rPr>
        <w:t xml:space="preserve">Od 1. ledna 2025 vznikly </w:t>
      </w:r>
      <w:r w:rsidR="00F46863">
        <w:rPr>
          <w:rFonts w:cs="Arial"/>
          <w:szCs w:val="22"/>
        </w:rPr>
        <w:t>v důsledku nabytí účinnosti zákona č. 461/2024 Sb. (dále jen „novela“), který novelizoval</w:t>
      </w:r>
      <w:r w:rsidR="00F46863" w:rsidRPr="008B5C1F">
        <w:rPr>
          <w:rFonts w:cs="Arial"/>
          <w:szCs w:val="22"/>
        </w:rPr>
        <w:t xml:space="preserve"> </w:t>
      </w:r>
      <w:r w:rsidRPr="008B5C1F">
        <w:rPr>
          <w:rFonts w:cs="Arial"/>
          <w:szCs w:val="22"/>
        </w:rPr>
        <w:t>zákon č. 235/2004 Sb., o dani z přidané hodnoty (dále jen „zákon o DPH“), nové povinnosti pro zahraniční osoby</w:t>
      </w:r>
      <w:r>
        <w:rPr>
          <w:rFonts w:cs="Arial"/>
          <w:szCs w:val="22"/>
        </w:rPr>
        <w:t xml:space="preserve"> (osoba povinná k dani, která nemá sídlo nebo provozovnu na území EU</w:t>
      </w:r>
      <w:r w:rsidR="007E2464">
        <w:rPr>
          <w:rFonts w:cs="Arial"/>
          <w:szCs w:val="22"/>
        </w:rPr>
        <w:t>) pro účely doručování v oblasti DPH</w:t>
      </w:r>
      <w:r>
        <w:rPr>
          <w:rFonts w:cs="Arial"/>
          <w:szCs w:val="22"/>
        </w:rPr>
        <w:t>.</w:t>
      </w:r>
    </w:p>
    <w:p w14:paraId="6B18341F" w14:textId="5881D82B" w:rsidR="008B5C1F" w:rsidRPr="00EC4ABA" w:rsidRDefault="007E2464" w:rsidP="00944785">
      <w:pPr>
        <w:pStyle w:val="Odstavecseseznamem"/>
        <w:numPr>
          <w:ilvl w:val="0"/>
          <w:numId w:val="5"/>
        </w:numPr>
        <w:rPr>
          <w:rFonts w:ascii="Arial" w:hAnsi="Arial" w:cs="Arial"/>
          <w:b/>
          <w:bCs/>
          <w:lang w:eastAsia="zh-CN"/>
        </w:rPr>
      </w:pPr>
      <w:r w:rsidRPr="00EC4ABA">
        <w:rPr>
          <w:rFonts w:ascii="Arial" w:hAnsi="Arial" w:cs="Arial"/>
          <w:b/>
          <w:bCs/>
          <w:lang w:eastAsia="zh-CN"/>
        </w:rPr>
        <w:t>Jaké jsou nové povinnosti</w:t>
      </w:r>
    </w:p>
    <w:p w14:paraId="53C75BDE" w14:textId="3A07297D" w:rsidR="008B5C1F" w:rsidRPr="008B5C1F" w:rsidRDefault="008B5C1F" w:rsidP="008B5C1F">
      <w:pPr>
        <w:pStyle w:val="selnodrky"/>
        <w:numPr>
          <w:ilvl w:val="0"/>
          <w:numId w:val="0"/>
        </w:numPr>
        <w:rPr>
          <w:rFonts w:cs="Arial"/>
          <w:szCs w:val="22"/>
        </w:rPr>
      </w:pPr>
      <w:r w:rsidRPr="008B5C1F">
        <w:rPr>
          <w:rFonts w:cs="Arial"/>
          <w:szCs w:val="22"/>
        </w:rPr>
        <w:t xml:space="preserve">Jedná se o </w:t>
      </w:r>
      <w:r w:rsidR="007E2464">
        <w:rPr>
          <w:rFonts w:cs="Arial"/>
          <w:szCs w:val="22"/>
        </w:rPr>
        <w:t>povinnost</w:t>
      </w:r>
      <w:r w:rsidR="005F5771">
        <w:rPr>
          <w:rFonts w:cs="Arial"/>
          <w:szCs w:val="22"/>
        </w:rPr>
        <w:t xml:space="preserve">i dle </w:t>
      </w:r>
      <w:r w:rsidR="00A92772">
        <w:rPr>
          <w:rFonts w:cs="Arial"/>
          <w:szCs w:val="22"/>
        </w:rPr>
        <w:t xml:space="preserve">§ 96 odst. 3 a </w:t>
      </w:r>
      <w:r w:rsidR="005F5771">
        <w:rPr>
          <w:rFonts w:cs="Arial"/>
          <w:szCs w:val="22"/>
        </w:rPr>
        <w:t>§ 98b zákona o DPH</w:t>
      </w:r>
      <w:r w:rsidRPr="008B5C1F">
        <w:rPr>
          <w:rFonts w:cs="Arial"/>
          <w:szCs w:val="22"/>
        </w:rPr>
        <w:t>:</w:t>
      </w:r>
    </w:p>
    <w:p w14:paraId="221C3356" w14:textId="77777777" w:rsidR="008B5C1F" w:rsidRPr="008B5C1F" w:rsidRDefault="008B5C1F" w:rsidP="008B5C1F">
      <w:pPr>
        <w:pStyle w:val="selnodrky"/>
        <w:numPr>
          <w:ilvl w:val="0"/>
          <w:numId w:val="0"/>
        </w:numPr>
        <w:rPr>
          <w:rFonts w:cs="Arial"/>
          <w:szCs w:val="22"/>
        </w:rPr>
      </w:pPr>
      <w:r w:rsidRPr="008B5C1F">
        <w:rPr>
          <w:rFonts w:cs="Arial"/>
          <w:szCs w:val="22"/>
        </w:rPr>
        <w:t xml:space="preserve">1. zvolit si zmocněnce pro doručování, </w:t>
      </w:r>
    </w:p>
    <w:p w14:paraId="2EEA1BFF" w14:textId="77777777" w:rsidR="008B5C1F" w:rsidRPr="008B5C1F" w:rsidRDefault="008B5C1F" w:rsidP="008B5C1F">
      <w:pPr>
        <w:rPr>
          <w:rFonts w:ascii="Arial" w:hAnsi="Arial" w:cs="Arial"/>
        </w:rPr>
      </w:pPr>
      <w:r w:rsidRPr="008B5C1F">
        <w:rPr>
          <w:rFonts w:ascii="Arial" w:hAnsi="Arial" w:cs="Arial"/>
        </w:rPr>
        <w:t xml:space="preserve">2. uvést adresu elektronické pošty (e-mailovou adresu) v přihlášce k registraci k DPH. </w:t>
      </w:r>
    </w:p>
    <w:p w14:paraId="6640D07D" w14:textId="77777777" w:rsidR="008B5C1F" w:rsidRPr="008B5C1F" w:rsidRDefault="008B5C1F" w:rsidP="008B5C1F">
      <w:pPr>
        <w:rPr>
          <w:rFonts w:ascii="Arial" w:hAnsi="Arial" w:cs="Arial"/>
        </w:rPr>
      </w:pPr>
      <w:r w:rsidRPr="008B5C1F">
        <w:rPr>
          <w:rFonts w:ascii="Arial" w:hAnsi="Arial" w:cs="Arial"/>
        </w:rPr>
        <w:t>Povinnost volby zmocněnce pro doručování nemá zahraniční osoba, která má sama v tuzemsku zpřístupněnu datovou schránku.</w:t>
      </w:r>
    </w:p>
    <w:p w14:paraId="5F8B36DB" w14:textId="6D7294B4" w:rsidR="008B5C1F" w:rsidRPr="008B5C1F" w:rsidRDefault="008B5C1F" w:rsidP="00944785">
      <w:pPr>
        <w:pStyle w:val="selnodrky"/>
        <w:numPr>
          <w:ilvl w:val="0"/>
          <w:numId w:val="0"/>
        </w:numPr>
        <w:rPr>
          <w:rFonts w:cs="Arial"/>
          <w:szCs w:val="22"/>
        </w:rPr>
      </w:pPr>
      <w:r w:rsidRPr="008B5C1F">
        <w:rPr>
          <w:rFonts w:cs="Arial"/>
          <w:szCs w:val="22"/>
        </w:rPr>
        <w:t xml:space="preserve">Tyto povinnosti, pokud již nebyly splněny dříve, se </w:t>
      </w:r>
      <w:r w:rsidR="00064814">
        <w:rPr>
          <w:rFonts w:cs="Arial"/>
          <w:szCs w:val="22"/>
        </w:rPr>
        <w:t>vztahují</w:t>
      </w:r>
      <w:r w:rsidR="00064814" w:rsidRPr="008B5C1F">
        <w:rPr>
          <w:rFonts w:cs="Arial"/>
          <w:szCs w:val="22"/>
        </w:rPr>
        <w:t xml:space="preserve"> </w:t>
      </w:r>
      <w:r w:rsidRPr="008B5C1F">
        <w:rPr>
          <w:rFonts w:cs="Arial"/>
          <w:szCs w:val="22"/>
        </w:rPr>
        <w:t xml:space="preserve">také </w:t>
      </w:r>
      <w:r w:rsidR="00064814">
        <w:rPr>
          <w:rFonts w:cs="Arial"/>
          <w:szCs w:val="22"/>
        </w:rPr>
        <w:t xml:space="preserve">na </w:t>
      </w:r>
      <w:r w:rsidRPr="008B5C1F">
        <w:rPr>
          <w:rFonts w:cs="Arial"/>
          <w:szCs w:val="22"/>
        </w:rPr>
        <w:t>zahraniční osob</w:t>
      </w:r>
      <w:r w:rsidR="00064814">
        <w:rPr>
          <w:rFonts w:cs="Arial"/>
          <w:szCs w:val="22"/>
        </w:rPr>
        <w:t>y</w:t>
      </w:r>
      <w:r w:rsidRPr="008B5C1F">
        <w:rPr>
          <w:rFonts w:cs="Arial"/>
          <w:szCs w:val="22"/>
        </w:rPr>
        <w:t>, které byly v tuzemsku zaregistrovány před 1. 1. 2025.</w:t>
      </w:r>
      <w:r w:rsidR="00F46863">
        <w:rPr>
          <w:rFonts w:cs="Arial"/>
          <w:szCs w:val="22"/>
        </w:rPr>
        <w:t xml:space="preserve"> </w:t>
      </w:r>
      <w:r w:rsidR="00064814">
        <w:rPr>
          <w:rFonts w:cs="Arial"/>
          <w:szCs w:val="22"/>
        </w:rPr>
        <w:t>Uvedení stavu existujícího k 31. 12. 2024 do souladu s novou právní úpravou zajišťují u t</w:t>
      </w:r>
      <w:r w:rsidR="00F46863">
        <w:rPr>
          <w:rFonts w:cs="Arial"/>
          <w:szCs w:val="22"/>
        </w:rPr>
        <w:t xml:space="preserve">ěchto osob </w:t>
      </w:r>
      <w:r w:rsidR="00064814">
        <w:rPr>
          <w:rFonts w:cs="Arial"/>
          <w:szCs w:val="22"/>
        </w:rPr>
        <w:t>body 25, 26 a 27</w:t>
      </w:r>
      <w:r w:rsidR="00064814" w:rsidRPr="00064814">
        <w:rPr>
          <w:rFonts w:cs="Arial"/>
          <w:szCs w:val="22"/>
        </w:rPr>
        <w:t xml:space="preserve"> </w:t>
      </w:r>
      <w:r w:rsidR="00F46863">
        <w:rPr>
          <w:rFonts w:cs="Arial"/>
          <w:szCs w:val="22"/>
        </w:rPr>
        <w:t>přechodn</w:t>
      </w:r>
      <w:r w:rsidR="00064814">
        <w:rPr>
          <w:rFonts w:cs="Arial"/>
          <w:szCs w:val="22"/>
        </w:rPr>
        <w:t>ých</w:t>
      </w:r>
      <w:r w:rsidR="00F46863">
        <w:rPr>
          <w:rFonts w:cs="Arial"/>
          <w:szCs w:val="22"/>
        </w:rPr>
        <w:t xml:space="preserve"> ustanovení </w:t>
      </w:r>
      <w:r w:rsidR="00064814">
        <w:rPr>
          <w:rFonts w:cs="Arial"/>
          <w:szCs w:val="22"/>
        </w:rPr>
        <w:t>novely</w:t>
      </w:r>
      <w:r w:rsidR="00F46863">
        <w:rPr>
          <w:rFonts w:cs="Arial"/>
          <w:szCs w:val="22"/>
        </w:rPr>
        <w:t>.</w:t>
      </w:r>
    </w:p>
    <w:p w14:paraId="0050C50B" w14:textId="77777777" w:rsidR="007E2464" w:rsidRDefault="007E2464" w:rsidP="00944785">
      <w:pPr>
        <w:spacing w:after="0" w:line="240" w:lineRule="auto"/>
        <w:jc w:val="both"/>
        <w:rPr>
          <w:rFonts w:ascii="Arial" w:hAnsi="Arial" w:cs="Arial"/>
          <w:b/>
          <w:bCs/>
        </w:rPr>
      </w:pPr>
    </w:p>
    <w:p w14:paraId="6A3C2E97" w14:textId="64ED54A8" w:rsidR="007E2464" w:rsidRPr="00EC4ABA" w:rsidRDefault="007E2464" w:rsidP="00944785">
      <w:pPr>
        <w:pStyle w:val="Odstavecseseznamem"/>
        <w:numPr>
          <w:ilvl w:val="0"/>
          <w:numId w:val="5"/>
        </w:numPr>
        <w:spacing w:line="240" w:lineRule="auto"/>
        <w:jc w:val="both"/>
        <w:rPr>
          <w:rFonts w:ascii="Arial" w:hAnsi="Arial" w:cs="Arial"/>
          <w:b/>
          <w:bCs/>
        </w:rPr>
      </w:pPr>
      <w:r w:rsidRPr="00EC4ABA">
        <w:rPr>
          <w:rFonts w:ascii="Arial" w:hAnsi="Arial" w:cs="Arial"/>
          <w:b/>
          <w:bCs/>
        </w:rPr>
        <w:t>Kdo může být zmocněncem pro doručování</w:t>
      </w:r>
    </w:p>
    <w:p w14:paraId="19E353E9" w14:textId="01E0FCA6" w:rsidR="008B5C1F" w:rsidRPr="008B5C1F" w:rsidRDefault="008B5C1F" w:rsidP="008B5C1F">
      <w:pPr>
        <w:pStyle w:val="Symbolodrky"/>
        <w:numPr>
          <w:ilvl w:val="0"/>
          <w:numId w:val="0"/>
        </w:numPr>
        <w:rPr>
          <w:rFonts w:cs="Arial"/>
          <w:szCs w:val="22"/>
        </w:rPr>
      </w:pPr>
      <w:r w:rsidRPr="008B5C1F">
        <w:rPr>
          <w:rFonts w:cs="Arial"/>
          <w:szCs w:val="22"/>
        </w:rPr>
        <w:t>Zmocněnec pro doručování může</w:t>
      </w:r>
      <w:r w:rsidR="007E2464">
        <w:rPr>
          <w:rFonts w:cs="Arial"/>
          <w:szCs w:val="22"/>
        </w:rPr>
        <w:t xml:space="preserve"> podle § 98b zákona o DPH</w:t>
      </w:r>
      <w:r w:rsidRPr="008B5C1F">
        <w:rPr>
          <w:rFonts w:cs="Arial"/>
          <w:szCs w:val="22"/>
        </w:rPr>
        <w:t xml:space="preserve"> být fyzická nebo právnická osoba se zpřístupněnou datovou schránkou zřízenou ze zákona.</w:t>
      </w:r>
      <w:r w:rsidRPr="008B5C1F">
        <w:rPr>
          <w:rStyle w:val="Znakapoznpodarou"/>
          <w:rFonts w:cs="Arial"/>
          <w:sz w:val="22"/>
          <w:szCs w:val="22"/>
        </w:rPr>
        <w:footnoteReference w:id="1"/>
      </w:r>
      <w:r w:rsidRPr="008B5C1F">
        <w:rPr>
          <w:rFonts w:cs="Arial"/>
          <w:szCs w:val="22"/>
        </w:rPr>
        <w:t xml:space="preserve"> </w:t>
      </w:r>
    </w:p>
    <w:p w14:paraId="4116D036" w14:textId="77777777" w:rsidR="008B5C1F" w:rsidRPr="008B5C1F" w:rsidRDefault="008B5C1F" w:rsidP="008B5C1F">
      <w:pPr>
        <w:pStyle w:val="Symbolodrky"/>
        <w:numPr>
          <w:ilvl w:val="0"/>
          <w:numId w:val="0"/>
        </w:numPr>
        <w:rPr>
          <w:rFonts w:cs="Arial"/>
          <w:szCs w:val="22"/>
        </w:rPr>
      </w:pPr>
      <w:r w:rsidRPr="008B5C1F">
        <w:rPr>
          <w:rFonts w:cs="Arial"/>
          <w:szCs w:val="22"/>
        </w:rPr>
        <w:t>Datové schránky zřízené ze zákona jsou všechny datové schránky automaticky zřízené Digitální a informační agenturou, tj. datové schránky typu 20, 30, 31, 32, 33, 34, 35, 36, 37, 38 a 39.</w:t>
      </w:r>
      <w:r w:rsidRPr="008B5C1F">
        <w:rPr>
          <w:rStyle w:val="Znakapoznpodarou"/>
          <w:rFonts w:cs="Arial"/>
          <w:sz w:val="22"/>
          <w:szCs w:val="22"/>
        </w:rPr>
        <w:footnoteReference w:id="2"/>
      </w:r>
      <w:r w:rsidRPr="008B5C1F">
        <w:rPr>
          <w:rFonts w:cs="Arial"/>
          <w:szCs w:val="22"/>
        </w:rPr>
        <w:t xml:space="preserve"> </w:t>
      </w:r>
    </w:p>
    <w:p w14:paraId="2E136D09" w14:textId="7FD5A23F" w:rsidR="008B5C1F" w:rsidRPr="008B5C1F" w:rsidRDefault="008B5C1F" w:rsidP="008B5C1F">
      <w:pPr>
        <w:pStyle w:val="Symbolodrky"/>
        <w:numPr>
          <w:ilvl w:val="0"/>
          <w:numId w:val="0"/>
        </w:numPr>
        <w:rPr>
          <w:rFonts w:cs="Arial"/>
          <w:szCs w:val="22"/>
        </w:rPr>
      </w:pPr>
      <w:r w:rsidRPr="008B5C1F">
        <w:rPr>
          <w:rFonts w:cs="Arial"/>
          <w:szCs w:val="22"/>
        </w:rPr>
        <w:t>Z důvodů zamezení nepřípustné diskriminace osob usazených na území Evropské unie, resp. ve státech EHP (Evropského hospodářského prostoru) může být zmocněncem pro doručování zvolena také osoba se sídlem či místem pobytu ve státu EHP (to znamená v jiném členském státě EU, Norsku, Islandu či Lichtenštejnsku), která má zřízenou datovou schránku na žádost.</w:t>
      </w:r>
      <w:r w:rsidRPr="008B5C1F">
        <w:rPr>
          <w:rStyle w:val="Znakapoznpodarou"/>
          <w:rFonts w:cs="Arial"/>
          <w:sz w:val="22"/>
          <w:szCs w:val="22"/>
        </w:rPr>
        <w:footnoteReference w:id="3"/>
      </w:r>
    </w:p>
    <w:p w14:paraId="3A4AAB37" w14:textId="77777777" w:rsidR="008B5C1F" w:rsidRPr="008B5C1F" w:rsidRDefault="008B5C1F" w:rsidP="008B5C1F">
      <w:pPr>
        <w:pStyle w:val="Symbolodrky"/>
        <w:numPr>
          <w:ilvl w:val="0"/>
          <w:numId w:val="0"/>
        </w:numPr>
        <w:rPr>
          <w:rFonts w:cs="Arial"/>
          <w:szCs w:val="22"/>
        </w:rPr>
      </w:pPr>
      <w:r w:rsidRPr="008B5C1F">
        <w:rPr>
          <w:rFonts w:cs="Arial"/>
          <w:szCs w:val="22"/>
        </w:rPr>
        <w:t xml:space="preserve">Toto se vztahuje pouze na ty zmocněnce ze státu EHP se zřízenou datovou schránkou na žádost, kteří vykonávají obdobnou činnost, jakou vykonávají tuzemské osoby s datovou schránkou zřízenou ze zákona. Daný zmocněnec tak musí být podnikající fyzickou osobou, anebo právnickou osobou. Jedná se tedy o datové schránky zřízené na žádost typu 22, 50 nebo po doložení podnikatelské činnosti typu 40. </w:t>
      </w:r>
    </w:p>
    <w:p w14:paraId="5D97389E" w14:textId="77777777" w:rsidR="008B5C1F" w:rsidRPr="008B5C1F" w:rsidRDefault="008B5C1F" w:rsidP="008B5C1F">
      <w:pPr>
        <w:pStyle w:val="Symbolodrky"/>
        <w:numPr>
          <w:ilvl w:val="0"/>
          <w:numId w:val="0"/>
        </w:numPr>
        <w:rPr>
          <w:rFonts w:cs="Arial"/>
          <w:szCs w:val="22"/>
        </w:rPr>
      </w:pPr>
      <w:r w:rsidRPr="008B5C1F">
        <w:rPr>
          <w:rFonts w:cs="Arial"/>
          <w:szCs w:val="22"/>
        </w:rPr>
        <w:t>Zahraniční osoba může mít podle § 98a odst. 2 zákona o DPH pouze jednoho zmocněnce pro doručování v oblasti daně z přidané hodnoty (to znamená, že si nemůže zvolit jiného zástupce například pro doručování v rámci daňové kontroly).</w:t>
      </w:r>
    </w:p>
    <w:p w14:paraId="0D63E4DC" w14:textId="370B87DE" w:rsidR="008B5C1F" w:rsidRDefault="008B5C1F" w:rsidP="008B5C1F">
      <w:pPr>
        <w:pStyle w:val="Symbolodrky"/>
        <w:numPr>
          <w:ilvl w:val="0"/>
          <w:numId w:val="0"/>
        </w:numPr>
        <w:rPr>
          <w:rFonts w:cs="Arial"/>
          <w:szCs w:val="22"/>
        </w:rPr>
      </w:pPr>
      <w:r w:rsidRPr="008B5C1F">
        <w:rPr>
          <w:rFonts w:cs="Arial"/>
          <w:szCs w:val="22"/>
        </w:rPr>
        <w:t>Zmocněnec pro doručování zahraniční osoby může být zároveň i obecný zmocněnec, kter</w:t>
      </w:r>
      <w:r w:rsidR="00064814">
        <w:rPr>
          <w:rFonts w:cs="Arial"/>
          <w:szCs w:val="22"/>
        </w:rPr>
        <w:t>ého</w:t>
      </w:r>
      <w:r w:rsidRPr="008B5C1F">
        <w:rPr>
          <w:rFonts w:cs="Arial"/>
          <w:szCs w:val="22"/>
        </w:rPr>
        <w:t xml:space="preserve"> má daňový subjekt ustanoveného na úkony, do kterých spadá i doručování písemností</w:t>
      </w:r>
      <w:r w:rsidRPr="008B5C1F">
        <w:rPr>
          <w:rFonts w:cs="Arial"/>
          <w:szCs w:val="22"/>
        </w:rPr>
        <w:br/>
      </w:r>
      <w:r w:rsidRPr="008B5C1F">
        <w:rPr>
          <w:rFonts w:cs="Arial"/>
          <w:szCs w:val="22"/>
        </w:rPr>
        <w:lastRenderedPageBreak/>
        <w:t xml:space="preserve">v oblasti DPH (tedy zmocněnec obecný pro všechny daně, nebo zmocněnec jen pro oblast DPH). Není tedy nutné v takovém případě mít ještě </w:t>
      </w:r>
      <w:r w:rsidR="00064814">
        <w:rPr>
          <w:rFonts w:cs="Arial"/>
          <w:szCs w:val="22"/>
        </w:rPr>
        <w:t xml:space="preserve">specificky </w:t>
      </w:r>
      <w:r w:rsidRPr="008B5C1F">
        <w:rPr>
          <w:rFonts w:cs="Arial"/>
          <w:szCs w:val="22"/>
        </w:rPr>
        <w:t>zvoleného zmocněnce pro doručování podle tohoto ustanovení. Pokud bude mít zahraniční osoba zmocněnce s udělenou generální plnou mocí, pak je to pro splnění dané povinnosti dostačující.</w:t>
      </w:r>
    </w:p>
    <w:p w14:paraId="39374700" w14:textId="76F0B9E5" w:rsidR="007E2464" w:rsidRPr="007E2464" w:rsidRDefault="007E2464" w:rsidP="00EC4ABA">
      <w:pPr>
        <w:pStyle w:val="Symbolodrky"/>
        <w:numPr>
          <w:ilvl w:val="0"/>
          <w:numId w:val="5"/>
        </w:numPr>
        <w:rPr>
          <w:rFonts w:cs="Arial"/>
          <w:szCs w:val="22"/>
        </w:rPr>
      </w:pPr>
      <w:r>
        <w:rPr>
          <w:rFonts w:cs="Arial"/>
          <w:b/>
          <w:bCs/>
          <w:szCs w:val="22"/>
        </w:rPr>
        <w:t>Co musí udělat zahraniční osoba, která se chce registrovat k DPH v tuzemsku</w:t>
      </w:r>
    </w:p>
    <w:p w14:paraId="2161DF9D" w14:textId="16E1B6E3" w:rsidR="007E2464" w:rsidRDefault="007E2464" w:rsidP="007E2464">
      <w:pPr>
        <w:pStyle w:val="Symbolodrky"/>
        <w:numPr>
          <w:ilvl w:val="0"/>
          <w:numId w:val="0"/>
        </w:numPr>
        <w:spacing w:after="240"/>
        <w:rPr>
          <w:rFonts w:cs="Arial"/>
          <w:szCs w:val="22"/>
        </w:rPr>
      </w:pPr>
      <w:r>
        <w:rPr>
          <w:rFonts w:cs="Arial"/>
          <w:szCs w:val="22"/>
        </w:rPr>
        <w:t xml:space="preserve">Při registraci k DPH (plátce nebo identifikované osoby) je zahraniční osoba v přihlášce k registraci </w:t>
      </w:r>
      <w:r w:rsidR="00EC4ABA">
        <w:rPr>
          <w:rFonts w:cs="Arial"/>
          <w:szCs w:val="22"/>
        </w:rPr>
        <w:t xml:space="preserve">povinna </w:t>
      </w:r>
      <w:r>
        <w:rPr>
          <w:rFonts w:cs="Arial"/>
          <w:szCs w:val="22"/>
        </w:rPr>
        <w:t>uvést:</w:t>
      </w:r>
    </w:p>
    <w:p w14:paraId="6F42D602" w14:textId="74A127EE" w:rsidR="007E2464" w:rsidRDefault="007E2464" w:rsidP="007E2464">
      <w:pPr>
        <w:pStyle w:val="Symbolodrky"/>
        <w:numPr>
          <w:ilvl w:val="0"/>
          <w:numId w:val="4"/>
        </w:numPr>
        <w:spacing w:before="0"/>
        <w:rPr>
          <w:rFonts w:cs="Arial"/>
          <w:szCs w:val="22"/>
        </w:rPr>
      </w:pPr>
      <w:r>
        <w:rPr>
          <w:rFonts w:cs="Arial"/>
          <w:szCs w:val="22"/>
        </w:rPr>
        <w:t>Zmocněnce pro doručování podle § 98b zákona o DPH</w:t>
      </w:r>
    </w:p>
    <w:p w14:paraId="5A4E8D55" w14:textId="0F5DD353" w:rsidR="007E2464" w:rsidRDefault="007E2464" w:rsidP="007E2464">
      <w:pPr>
        <w:pStyle w:val="Symbolodrky"/>
        <w:numPr>
          <w:ilvl w:val="0"/>
          <w:numId w:val="4"/>
        </w:numPr>
        <w:spacing w:before="0"/>
        <w:rPr>
          <w:rFonts w:cs="Arial"/>
          <w:szCs w:val="22"/>
        </w:rPr>
      </w:pPr>
      <w:r>
        <w:rPr>
          <w:rFonts w:cs="Arial"/>
          <w:szCs w:val="22"/>
        </w:rPr>
        <w:t>Adresu elektronické pošty (e-mailovou adresu)</w:t>
      </w:r>
    </w:p>
    <w:p w14:paraId="0881F5E2" w14:textId="77777777" w:rsidR="007E2464" w:rsidRDefault="007E2464" w:rsidP="007E2464">
      <w:pPr>
        <w:pStyle w:val="Symbolodrky"/>
        <w:numPr>
          <w:ilvl w:val="0"/>
          <w:numId w:val="0"/>
        </w:numPr>
        <w:spacing w:before="0"/>
        <w:rPr>
          <w:rFonts w:cs="Arial"/>
          <w:szCs w:val="22"/>
        </w:rPr>
      </w:pPr>
    </w:p>
    <w:p w14:paraId="4EEE4FE7" w14:textId="6A7E7D73" w:rsidR="007E2464" w:rsidRDefault="007E2464" w:rsidP="007E2464">
      <w:pPr>
        <w:pStyle w:val="Symbolodrky"/>
        <w:numPr>
          <w:ilvl w:val="0"/>
          <w:numId w:val="0"/>
        </w:numPr>
        <w:spacing w:before="0"/>
        <w:rPr>
          <w:rFonts w:cs="Arial"/>
          <w:szCs w:val="22"/>
        </w:rPr>
      </w:pPr>
      <w:r>
        <w:rPr>
          <w:rFonts w:cs="Arial"/>
          <w:szCs w:val="22"/>
        </w:rPr>
        <w:t>Pokud má zahraniční osoba sama zpřístupněnu datovou schránku, nemá povinnost zvolit si zmocněnce pro doručování. V přihlášce k registraci k DPH pak vyplní své ID datové schránky.</w:t>
      </w:r>
    </w:p>
    <w:p w14:paraId="34526550" w14:textId="77777777" w:rsidR="007E2464" w:rsidRDefault="007E2464" w:rsidP="007E2464">
      <w:pPr>
        <w:pStyle w:val="Symbolodrky"/>
        <w:numPr>
          <w:ilvl w:val="0"/>
          <w:numId w:val="0"/>
        </w:numPr>
        <w:spacing w:before="0"/>
        <w:rPr>
          <w:rFonts w:cs="Arial"/>
          <w:szCs w:val="22"/>
        </w:rPr>
      </w:pPr>
    </w:p>
    <w:p w14:paraId="676698A6" w14:textId="567BCDE1" w:rsidR="007E2464" w:rsidRDefault="005F5771" w:rsidP="00EC4ABA">
      <w:pPr>
        <w:pStyle w:val="Symbolodrky"/>
        <w:numPr>
          <w:ilvl w:val="0"/>
          <w:numId w:val="5"/>
        </w:numPr>
        <w:spacing w:before="0"/>
        <w:rPr>
          <w:rFonts w:cs="Arial"/>
          <w:b/>
          <w:bCs/>
          <w:szCs w:val="22"/>
        </w:rPr>
      </w:pPr>
      <w:r w:rsidRPr="005F5771">
        <w:rPr>
          <w:rFonts w:cs="Arial"/>
          <w:b/>
          <w:bCs/>
          <w:szCs w:val="22"/>
        </w:rPr>
        <w:t>Povinnosti zahraničních osob registrovaných k DPH před 1. 1. 2025</w:t>
      </w:r>
    </w:p>
    <w:p w14:paraId="3C28BD26" w14:textId="77777777" w:rsidR="005F5771" w:rsidRDefault="005F5771" w:rsidP="005F5771">
      <w:pPr>
        <w:pStyle w:val="Symbolodrky"/>
        <w:numPr>
          <w:ilvl w:val="0"/>
          <w:numId w:val="0"/>
        </w:numPr>
        <w:spacing w:before="0"/>
        <w:rPr>
          <w:rFonts w:cs="Arial"/>
          <w:b/>
          <w:bCs/>
          <w:szCs w:val="22"/>
        </w:rPr>
      </w:pPr>
    </w:p>
    <w:p w14:paraId="04EF6545" w14:textId="6179C86E" w:rsidR="005F5771" w:rsidRDefault="005F5771" w:rsidP="005F5771">
      <w:pPr>
        <w:pStyle w:val="Symbolodrky"/>
        <w:numPr>
          <w:ilvl w:val="0"/>
          <w:numId w:val="0"/>
        </w:numPr>
        <w:spacing w:before="0" w:after="240"/>
        <w:rPr>
          <w:rFonts w:cs="Arial"/>
          <w:szCs w:val="22"/>
        </w:rPr>
      </w:pPr>
      <w:r>
        <w:rPr>
          <w:rFonts w:cs="Arial"/>
          <w:szCs w:val="22"/>
        </w:rPr>
        <w:t>Zahraniční osoba registrovaná k DPH jako plátce nebo identifikovaná osoba před 1. 1. 2025 byla povinna do konce února 2025 oznámit správci daně:</w:t>
      </w:r>
    </w:p>
    <w:p w14:paraId="7A835E73" w14:textId="41A89BDB" w:rsidR="005F5771" w:rsidRDefault="005F5771" w:rsidP="005F5771">
      <w:pPr>
        <w:pStyle w:val="Symbolodrky"/>
        <w:numPr>
          <w:ilvl w:val="0"/>
          <w:numId w:val="3"/>
        </w:numPr>
        <w:spacing w:before="0"/>
        <w:rPr>
          <w:rFonts w:cs="Arial"/>
          <w:szCs w:val="22"/>
        </w:rPr>
      </w:pPr>
      <w:r w:rsidRPr="005F5771">
        <w:rPr>
          <w:rFonts w:cs="Arial"/>
          <w:szCs w:val="22"/>
          <w:u w:val="single"/>
        </w:rPr>
        <w:t>Zmocněnce pro doručování podle § 98b zákona o DPH</w:t>
      </w:r>
      <w:r>
        <w:rPr>
          <w:rFonts w:cs="Arial"/>
          <w:szCs w:val="22"/>
        </w:rPr>
        <w:t xml:space="preserve"> – pouze v případě, že takového zmocněnce dosud neměla zvoleného anebo dosavadní zmocněná osoba nesplňuje nové podmínky pro zmocněnce</w:t>
      </w:r>
      <w:r w:rsidR="00422668">
        <w:rPr>
          <w:rFonts w:cs="Arial"/>
          <w:szCs w:val="22"/>
        </w:rPr>
        <w:t xml:space="preserve"> pro doručování</w:t>
      </w:r>
      <w:r>
        <w:rPr>
          <w:rFonts w:cs="Arial"/>
          <w:szCs w:val="22"/>
        </w:rPr>
        <w:t xml:space="preserve">. Oznámení zmocněnce </w:t>
      </w:r>
      <w:r w:rsidR="00422668">
        <w:rPr>
          <w:rFonts w:cs="Arial"/>
          <w:szCs w:val="22"/>
        </w:rPr>
        <w:t xml:space="preserve">pro doručování </w:t>
      </w:r>
      <w:r>
        <w:rPr>
          <w:rFonts w:cs="Arial"/>
          <w:szCs w:val="22"/>
        </w:rPr>
        <w:t>se provede předložením příslušné plné moci správci daně.</w:t>
      </w:r>
    </w:p>
    <w:p w14:paraId="3D042749" w14:textId="20A0C246" w:rsidR="005F5771" w:rsidRPr="005F5771" w:rsidRDefault="005F5771" w:rsidP="00944785">
      <w:pPr>
        <w:pStyle w:val="Symbolodrky"/>
        <w:numPr>
          <w:ilvl w:val="0"/>
          <w:numId w:val="3"/>
        </w:numPr>
        <w:spacing w:before="0" w:after="240"/>
        <w:rPr>
          <w:rFonts w:cs="Arial"/>
          <w:szCs w:val="22"/>
        </w:rPr>
      </w:pPr>
      <w:r w:rsidRPr="005F5771">
        <w:rPr>
          <w:rFonts w:cs="Arial"/>
          <w:szCs w:val="22"/>
          <w:u w:val="single"/>
        </w:rPr>
        <w:t>Adresu elektronické pošty (e-mailovou adresu)</w:t>
      </w:r>
      <w:r>
        <w:rPr>
          <w:rFonts w:cs="Arial"/>
          <w:szCs w:val="22"/>
        </w:rPr>
        <w:t xml:space="preserve"> –</w:t>
      </w:r>
      <w:r w:rsidR="00EC4ABA">
        <w:rPr>
          <w:rFonts w:cs="Arial"/>
          <w:szCs w:val="22"/>
        </w:rPr>
        <w:t xml:space="preserve"> pokud již neuvedla dříve, pak je nezbytné provést aktualizaci</w:t>
      </w:r>
      <w:r>
        <w:rPr>
          <w:rFonts w:cs="Arial"/>
          <w:szCs w:val="22"/>
        </w:rPr>
        <w:t xml:space="preserve"> prostřednictvím formuláře „Oznámení o změně registračních údajů</w:t>
      </w:r>
      <w:r w:rsidR="00600360">
        <w:rPr>
          <w:rFonts w:cs="Arial"/>
          <w:szCs w:val="22"/>
        </w:rPr>
        <w:t xml:space="preserve">“, elektronicky dostupné na: </w:t>
      </w:r>
      <w:bookmarkStart w:id="0" w:name="_Hlk200697907"/>
      <w:r w:rsidR="00FF7B3E" w:rsidRPr="00FF7B3E">
        <w:fldChar w:fldCharType="begin"/>
      </w:r>
      <w:r w:rsidR="00FF7B3E" w:rsidRPr="00FF7B3E">
        <w:instrText>HYPERLINK "https://adisspr.mfcr.cz/pmd/epo/formulare"</w:instrText>
      </w:r>
      <w:r w:rsidR="00FF7B3E" w:rsidRPr="00FF7B3E">
        <w:fldChar w:fldCharType="separate"/>
      </w:r>
      <w:r w:rsidR="00FF7B3E" w:rsidRPr="00FF7B3E">
        <w:rPr>
          <w:rStyle w:val="Hypertextovodkaz"/>
        </w:rPr>
        <w:t>Elektronické formuláře - Portál MOJE daně</w:t>
      </w:r>
      <w:r w:rsidR="00FF7B3E" w:rsidRPr="00FF7B3E">
        <w:fldChar w:fldCharType="end"/>
      </w:r>
      <w:bookmarkEnd w:id="0"/>
      <w:r w:rsidR="00FF7B3E">
        <w:t>, menu panel „Registrace“</w:t>
      </w:r>
      <w:r w:rsidR="000E0C73">
        <w:t xml:space="preserve">, </w:t>
      </w:r>
      <w:r w:rsidR="007404B7">
        <w:t xml:space="preserve">a </w:t>
      </w:r>
      <w:r w:rsidR="000E0C73">
        <w:t>položka „Oznámení o změně registračních údajů“</w:t>
      </w:r>
      <w:r w:rsidR="00FF7B3E">
        <w:t>.</w:t>
      </w:r>
    </w:p>
    <w:p w14:paraId="7CD10CEE" w14:textId="3BC8CC72" w:rsidR="00EC4ABA" w:rsidRDefault="00A92772" w:rsidP="00944785">
      <w:pPr>
        <w:spacing w:after="0" w:line="240" w:lineRule="auto"/>
        <w:jc w:val="both"/>
        <w:rPr>
          <w:rFonts w:ascii="Arial" w:hAnsi="Arial" w:cs="Arial"/>
        </w:rPr>
      </w:pPr>
      <w:r>
        <w:rPr>
          <w:rFonts w:ascii="Arial" w:hAnsi="Arial" w:cs="Arial"/>
        </w:rPr>
        <w:t>P</w:t>
      </w:r>
      <w:r w:rsidR="00EC4ABA">
        <w:rPr>
          <w:rFonts w:ascii="Arial" w:hAnsi="Arial" w:cs="Arial"/>
        </w:rPr>
        <w:t>okud má zahraniční osoba sama zpřístupněnu datovou schránku</w:t>
      </w:r>
      <w:r>
        <w:rPr>
          <w:rFonts w:ascii="Arial" w:hAnsi="Arial" w:cs="Arial"/>
        </w:rPr>
        <w:t>, nemá povinnost zvolit si zmocněnce pro doručování</w:t>
      </w:r>
      <w:r w:rsidR="00EC4ABA">
        <w:rPr>
          <w:rFonts w:ascii="Arial" w:hAnsi="Arial" w:cs="Arial"/>
        </w:rPr>
        <w:t>.</w:t>
      </w:r>
    </w:p>
    <w:p w14:paraId="4702AD53" w14:textId="77777777" w:rsidR="00A92772" w:rsidRDefault="00A92772" w:rsidP="00944785">
      <w:pPr>
        <w:spacing w:after="0" w:line="240" w:lineRule="auto"/>
        <w:jc w:val="both"/>
        <w:rPr>
          <w:rFonts w:ascii="Arial" w:hAnsi="Arial" w:cs="Arial"/>
        </w:rPr>
      </w:pPr>
    </w:p>
    <w:p w14:paraId="00B80B36" w14:textId="1EC64AC9" w:rsidR="00A92772" w:rsidRPr="00A92772" w:rsidRDefault="00A92772" w:rsidP="00A92772">
      <w:pPr>
        <w:pStyle w:val="Odstavecseseznamem"/>
        <w:numPr>
          <w:ilvl w:val="0"/>
          <w:numId w:val="5"/>
        </w:numPr>
        <w:spacing w:after="0" w:line="240" w:lineRule="auto"/>
        <w:jc w:val="both"/>
        <w:rPr>
          <w:rFonts w:ascii="Arial" w:hAnsi="Arial" w:cs="Arial"/>
        </w:rPr>
      </w:pPr>
      <w:r>
        <w:rPr>
          <w:rFonts w:ascii="Arial" w:hAnsi="Arial" w:cs="Arial"/>
          <w:b/>
          <w:bCs/>
        </w:rPr>
        <w:t>Co když zanikne zmocnění nebo dojde k znepřístupnění datové schránky</w:t>
      </w:r>
    </w:p>
    <w:p w14:paraId="75AA2834" w14:textId="319A2541" w:rsidR="00A92772" w:rsidRDefault="00A92772" w:rsidP="00A92772">
      <w:pPr>
        <w:spacing w:after="0" w:line="240" w:lineRule="auto"/>
        <w:jc w:val="both"/>
        <w:rPr>
          <w:rFonts w:ascii="Arial" w:hAnsi="Arial" w:cs="Arial"/>
        </w:rPr>
      </w:pPr>
    </w:p>
    <w:p w14:paraId="240FDE9A" w14:textId="751579D8" w:rsidR="00A92772" w:rsidRPr="00A92772" w:rsidRDefault="00A92772" w:rsidP="00A92772">
      <w:pPr>
        <w:spacing w:after="0" w:line="240" w:lineRule="auto"/>
        <w:jc w:val="both"/>
        <w:rPr>
          <w:rFonts w:ascii="Arial" w:hAnsi="Arial" w:cs="Arial"/>
        </w:rPr>
      </w:pPr>
      <w:r>
        <w:rPr>
          <w:rFonts w:ascii="Arial" w:hAnsi="Arial" w:cs="Arial"/>
        </w:rPr>
        <w:t>Pokud zanikne zmocnění pro doručování nebo dojde k znepřístupnění datové schránky zahraniční osoby nebo jejího zmocněnce, je zahraniční osoba povinna si zvolit nového zmocněnce pro doručování, a to do 30 dnů ode dne, kdy tato skutečnost nastala.</w:t>
      </w:r>
    </w:p>
    <w:p w14:paraId="09AE4AC1" w14:textId="77777777" w:rsidR="00944785" w:rsidRPr="00EC4ABA" w:rsidRDefault="00944785" w:rsidP="00944785">
      <w:pPr>
        <w:spacing w:after="0" w:line="240" w:lineRule="auto"/>
        <w:jc w:val="both"/>
        <w:rPr>
          <w:rFonts w:ascii="Arial" w:hAnsi="Arial" w:cs="Arial"/>
        </w:rPr>
      </w:pPr>
    </w:p>
    <w:p w14:paraId="1BC37347" w14:textId="41249BED" w:rsidR="00EC4ABA" w:rsidRPr="00EC4ABA" w:rsidRDefault="00EC4ABA" w:rsidP="00944785">
      <w:pPr>
        <w:pStyle w:val="Odstavecseseznamem"/>
        <w:numPr>
          <w:ilvl w:val="0"/>
          <w:numId w:val="5"/>
        </w:numPr>
        <w:jc w:val="both"/>
        <w:rPr>
          <w:rFonts w:ascii="Arial" w:hAnsi="Arial" w:cs="Arial"/>
          <w:b/>
          <w:bCs/>
        </w:rPr>
      </w:pPr>
      <w:r w:rsidRPr="00EC4ABA">
        <w:rPr>
          <w:rFonts w:ascii="Arial" w:hAnsi="Arial" w:cs="Arial"/>
          <w:b/>
          <w:bCs/>
        </w:rPr>
        <w:t>Jaké jsou sankce za nesplnění povinnosti zvolení zmocněnce pro zastupování</w:t>
      </w:r>
    </w:p>
    <w:p w14:paraId="26196009" w14:textId="716A0764" w:rsidR="005F5771" w:rsidRDefault="00EC4ABA" w:rsidP="00944785">
      <w:pPr>
        <w:spacing w:after="0"/>
        <w:jc w:val="both"/>
        <w:rPr>
          <w:rFonts w:ascii="Arial" w:hAnsi="Arial" w:cs="Arial"/>
        </w:rPr>
      </w:pPr>
      <w:r>
        <w:rPr>
          <w:rFonts w:ascii="Arial" w:hAnsi="Arial" w:cs="Arial"/>
        </w:rPr>
        <w:t>Nesplnění povinnosti zvolit zmocněnce pro doručování nebo jeho volba po zákonem stanovené lhůtě podléhá sankci ve výši 1 000 Kč za každý den nesplnění této povinnosti od rozhodného dne stanoveného zákonem o DPH podle konkrétní nastalé situace (§ 98b odst. 3 až 5 zákona o DPH).</w:t>
      </w:r>
    </w:p>
    <w:p w14:paraId="5F627B14" w14:textId="77777777" w:rsidR="00944785" w:rsidRPr="00EC4ABA" w:rsidRDefault="00944785" w:rsidP="00944785">
      <w:pPr>
        <w:spacing w:after="0"/>
        <w:jc w:val="both"/>
        <w:rPr>
          <w:rFonts w:ascii="Arial" w:hAnsi="Arial" w:cs="Arial"/>
        </w:rPr>
      </w:pPr>
    </w:p>
    <w:p w14:paraId="01B13368" w14:textId="2141B9B7" w:rsidR="008B5C1F" w:rsidRPr="00EC4ABA" w:rsidRDefault="008B5C1F" w:rsidP="00944785">
      <w:pPr>
        <w:pStyle w:val="Odstavecseseznamem"/>
        <w:numPr>
          <w:ilvl w:val="0"/>
          <w:numId w:val="5"/>
        </w:numPr>
        <w:jc w:val="both"/>
        <w:rPr>
          <w:rFonts w:ascii="Arial" w:hAnsi="Arial" w:cs="Arial"/>
          <w:b/>
          <w:bCs/>
        </w:rPr>
      </w:pPr>
      <w:r w:rsidRPr="00EC4ABA">
        <w:rPr>
          <w:rFonts w:ascii="Arial" w:hAnsi="Arial" w:cs="Arial"/>
          <w:b/>
          <w:bCs/>
        </w:rPr>
        <w:t>Přechodné období</w:t>
      </w:r>
    </w:p>
    <w:p w14:paraId="5C5A5519" w14:textId="5C42FA6C" w:rsidR="008B5C1F" w:rsidRPr="008B5C1F" w:rsidRDefault="008B5C1F" w:rsidP="00600360">
      <w:pPr>
        <w:jc w:val="both"/>
        <w:rPr>
          <w:b/>
          <w:bCs/>
        </w:rPr>
      </w:pPr>
      <w:r w:rsidRPr="008B5C1F">
        <w:rPr>
          <w:rFonts w:ascii="Arial" w:hAnsi="Arial" w:cs="Arial"/>
        </w:rPr>
        <w:t>Z důvodu počátečních nejasností ve výkladu novely zákona o DPH v rozsahu zmocněnce pro doručování pro účely daně z přidané hodnoty podle § 98b zákona o DPH zůstávají plné moci udělené zmocněnci, který nesplňuje podmínky pro zmocněnce pro doručování</w:t>
      </w:r>
      <w:r w:rsidR="00422668">
        <w:rPr>
          <w:rFonts w:ascii="Arial" w:hAnsi="Arial" w:cs="Arial"/>
        </w:rPr>
        <w:t>,</w:t>
      </w:r>
      <w:r w:rsidRPr="008B5C1F">
        <w:rPr>
          <w:rFonts w:ascii="Arial" w:hAnsi="Arial" w:cs="Arial"/>
        </w:rPr>
        <w:t xml:space="preserve"> platné až do 30. </w:t>
      </w:r>
      <w:r w:rsidR="005F5771">
        <w:rPr>
          <w:rFonts w:ascii="Arial" w:hAnsi="Arial" w:cs="Arial"/>
        </w:rPr>
        <w:t>9</w:t>
      </w:r>
      <w:r w:rsidRPr="008B5C1F">
        <w:rPr>
          <w:rFonts w:ascii="Arial" w:hAnsi="Arial" w:cs="Arial"/>
        </w:rPr>
        <w:t xml:space="preserve">. 2025 v jejich plném rozsahu. </w:t>
      </w:r>
      <w:r w:rsidRPr="008B5C1F">
        <w:rPr>
          <w:rFonts w:ascii="Arial" w:hAnsi="Arial" w:cs="Arial"/>
          <w:b/>
          <w:bCs/>
        </w:rPr>
        <w:t xml:space="preserve">Správce daně přistoupí k případné aplikaci opatření vyplývajících z nesplnění zákonné povinnosti podle § 98b zákona o DPH, včetně udělení pokut, až od 1. </w:t>
      </w:r>
      <w:r w:rsidR="005F5771">
        <w:rPr>
          <w:rFonts w:ascii="Arial" w:hAnsi="Arial" w:cs="Arial"/>
          <w:b/>
          <w:bCs/>
        </w:rPr>
        <w:t>10</w:t>
      </w:r>
      <w:r w:rsidRPr="008B5C1F">
        <w:rPr>
          <w:rFonts w:ascii="Arial" w:hAnsi="Arial" w:cs="Arial"/>
          <w:b/>
          <w:bCs/>
        </w:rPr>
        <w:t>. 2025.</w:t>
      </w:r>
    </w:p>
    <w:sectPr w:rsidR="008B5C1F" w:rsidRPr="008B5C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D26FD" w14:textId="77777777" w:rsidR="00D26D6C" w:rsidRDefault="00D26D6C" w:rsidP="008B5C1F">
      <w:pPr>
        <w:spacing w:after="0" w:line="240" w:lineRule="auto"/>
      </w:pPr>
      <w:r>
        <w:separator/>
      </w:r>
    </w:p>
  </w:endnote>
  <w:endnote w:type="continuationSeparator" w:id="0">
    <w:p w14:paraId="5B918AC6" w14:textId="77777777" w:rsidR="00D26D6C" w:rsidRDefault="00D26D6C" w:rsidP="008B5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8FCBC" w14:textId="77777777" w:rsidR="00D26D6C" w:rsidRDefault="00D26D6C" w:rsidP="008B5C1F">
      <w:pPr>
        <w:spacing w:after="0" w:line="240" w:lineRule="auto"/>
      </w:pPr>
      <w:r>
        <w:separator/>
      </w:r>
    </w:p>
  </w:footnote>
  <w:footnote w:type="continuationSeparator" w:id="0">
    <w:p w14:paraId="4C3F9F0B" w14:textId="77777777" w:rsidR="00D26D6C" w:rsidRDefault="00D26D6C" w:rsidP="008B5C1F">
      <w:pPr>
        <w:spacing w:after="0" w:line="240" w:lineRule="auto"/>
      </w:pPr>
      <w:r>
        <w:continuationSeparator/>
      </w:r>
    </w:p>
  </w:footnote>
  <w:footnote w:id="1">
    <w:p w14:paraId="4C4F8F22" w14:textId="77777777" w:rsidR="008B5C1F" w:rsidRDefault="008B5C1F" w:rsidP="008B5C1F">
      <w:pPr>
        <w:pStyle w:val="Textpoznpodarou"/>
      </w:pPr>
      <w:r>
        <w:rPr>
          <w:rStyle w:val="Znakapoznpodarou"/>
        </w:rPr>
        <w:footnoteRef/>
      </w:r>
      <w:r>
        <w:t xml:space="preserve"> Zákon č. 300/2008 Sb., o elektronických úkonech a autorizované konverzi dokumentů</w:t>
      </w:r>
    </w:p>
  </w:footnote>
  <w:footnote w:id="2">
    <w:p w14:paraId="2332E292" w14:textId="77777777" w:rsidR="008B5C1F" w:rsidRDefault="008B5C1F" w:rsidP="008B5C1F">
      <w:pPr>
        <w:pStyle w:val="Textpoznpodarou"/>
      </w:pPr>
      <w:r>
        <w:rPr>
          <w:rStyle w:val="Znakapoznpodarou"/>
        </w:rPr>
        <w:footnoteRef/>
      </w:r>
      <w:r>
        <w:t xml:space="preserve"> Typy datových schránek jsou k dispozici na webových stránkách </w:t>
      </w:r>
      <w:hyperlink r:id="rId1" w:history="1">
        <w:r w:rsidRPr="00091E26">
          <w:rPr>
            <w:rStyle w:val="Hypertextovodkaz"/>
          </w:rPr>
          <w:t>Typy datových schránek</w:t>
        </w:r>
      </w:hyperlink>
    </w:p>
  </w:footnote>
  <w:footnote w:id="3">
    <w:p w14:paraId="722ABEFF" w14:textId="77777777" w:rsidR="008B5C1F" w:rsidRDefault="008B5C1F" w:rsidP="008B5C1F">
      <w:pPr>
        <w:pStyle w:val="Textpoznpodarou"/>
      </w:pPr>
      <w:r>
        <w:rPr>
          <w:rStyle w:val="Znakapoznpodarou"/>
        </w:rPr>
        <w:footnoteRef/>
      </w:r>
      <w:r>
        <w:t xml:space="preserve"> Digitální a informační agentura nezřizuje zahraničním osobám, včetně osob ze států EHP, datové schránky automaticky ze zákona. Jazykový výklad předmětného ustanovení by vedl k závěru, že zahraniční osoba ze státu EHP nemůže být zmocněncem pro doručování ve smyslu § 98b zákona o DPH. Takový výklad by byl v rozporu s mezinárodními závazky České republiky (konkrétně čl. 56 a násl. Smlouvy o fungování Evropské unie (volné poskytování služeb) a obdobně čl. 36 a násl. Dohody o Evropském hospodářském prostoru).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6FCF"/>
    <w:multiLevelType w:val="hybridMultilevel"/>
    <w:tmpl w:val="90B6315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3E2EFA"/>
    <w:multiLevelType w:val="hybridMultilevel"/>
    <w:tmpl w:val="CC36C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4E0EF8"/>
    <w:multiLevelType w:val="hybridMultilevel"/>
    <w:tmpl w:val="45509FBE"/>
    <w:lvl w:ilvl="0" w:tplc="04050001">
      <w:start w:val="1"/>
      <w:numFmt w:val="bullet"/>
      <w:pStyle w:val="Symbolodrky"/>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A552DEB"/>
    <w:multiLevelType w:val="hybridMultilevel"/>
    <w:tmpl w:val="568487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B9F0517"/>
    <w:multiLevelType w:val="hybridMultilevel"/>
    <w:tmpl w:val="DCC64942"/>
    <w:lvl w:ilvl="0" w:tplc="286E7904">
      <w:start w:val="1"/>
      <w:numFmt w:val="decimal"/>
      <w:pStyle w:val="selnodrky"/>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19162608">
    <w:abstractNumId w:val="4"/>
  </w:num>
  <w:num w:numId="2" w16cid:durableId="251813825">
    <w:abstractNumId w:val="2"/>
  </w:num>
  <w:num w:numId="3" w16cid:durableId="742139955">
    <w:abstractNumId w:val="3"/>
  </w:num>
  <w:num w:numId="4" w16cid:durableId="1026294113">
    <w:abstractNumId w:val="1"/>
  </w:num>
  <w:num w:numId="5" w16cid:durableId="1440106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DE"/>
    <w:rsid w:val="00064814"/>
    <w:rsid w:val="000E0C73"/>
    <w:rsid w:val="00100F99"/>
    <w:rsid w:val="00104961"/>
    <w:rsid w:val="001424B2"/>
    <w:rsid w:val="00153914"/>
    <w:rsid w:val="0033474D"/>
    <w:rsid w:val="003D0910"/>
    <w:rsid w:val="003F2E2B"/>
    <w:rsid w:val="00422668"/>
    <w:rsid w:val="004968F3"/>
    <w:rsid w:val="004A6050"/>
    <w:rsid w:val="004B5406"/>
    <w:rsid w:val="004F50DC"/>
    <w:rsid w:val="005A05DE"/>
    <w:rsid w:val="005F5771"/>
    <w:rsid w:val="00600360"/>
    <w:rsid w:val="00650871"/>
    <w:rsid w:val="006D194F"/>
    <w:rsid w:val="007404B7"/>
    <w:rsid w:val="0075241A"/>
    <w:rsid w:val="007E2464"/>
    <w:rsid w:val="008B5C1F"/>
    <w:rsid w:val="00944785"/>
    <w:rsid w:val="00951DC6"/>
    <w:rsid w:val="00A92772"/>
    <w:rsid w:val="00B14278"/>
    <w:rsid w:val="00BB4848"/>
    <w:rsid w:val="00BD1413"/>
    <w:rsid w:val="00C35C8F"/>
    <w:rsid w:val="00C53FAA"/>
    <w:rsid w:val="00C7402B"/>
    <w:rsid w:val="00CF4FCF"/>
    <w:rsid w:val="00D16A80"/>
    <w:rsid w:val="00D26D6C"/>
    <w:rsid w:val="00DD0484"/>
    <w:rsid w:val="00E36759"/>
    <w:rsid w:val="00EC4ABA"/>
    <w:rsid w:val="00F46863"/>
    <w:rsid w:val="00FF7B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5AAAD"/>
  <w15:chartTrackingRefBased/>
  <w15:docId w15:val="{87E700B1-67FB-48CD-B2FD-109BEFF9C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A05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5A05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5A05D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5A05DE"/>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5A05DE"/>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5A05DE"/>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5A05DE"/>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5A05DE"/>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5A05DE"/>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A05DE"/>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5A05DE"/>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5A05DE"/>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5A05DE"/>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5A05DE"/>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5A05DE"/>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A05DE"/>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A05DE"/>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A05DE"/>
    <w:rPr>
      <w:rFonts w:eastAsiaTheme="majorEastAsia" w:cstheme="majorBidi"/>
      <w:color w:val="272727" w:themeColor="text1" w:themeTint="D8"/>
    </w:rPr>
  </w:style>
  <w:style w:type="paragraph" w:styleId="Nzev">
    <w:name w:val="Title"/>
    <w:basedOn w:val="Normln"/>
    <w:next w:val="Normln"/>
    <w:link w:val="NzevChar"/>
    <w:uiPriority w:val="10"/>
    <w:qFormat/>
    <w:rsid w:val="005A05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A05DE"/>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5A05DE"/>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5A05DE"/>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A05DE"/>
    <w:pPr>
      <w:spacing w:before="160"/>
      <w:jc w:val="center"/>
    </w:pPr>
    <w:rPr>
      <w:i/>
      <w:iCs/>
      <w:color w:val="404040" w:themeColor="text1" w:themeTint="BF"/>
    </w:rPr>
  </w:style>
  <w:style w:type="character" w:customStyle="1" w:styleId="CittChar">
    <w:name w:val="Citát Char"/>
    <w:basedOn w:val="Standardnpsmoodstavce"/>
    <w:link w:val="Citt"/>
    <w:uiPriority w:val="29"/>
    <w:rsid w:val="005A05DE"/>
    <w:rPr>
      <w:i/>
      <w:iCs/>
      <w:color w:val="404040" w:themeColor="text1" w:themeTint="BF"/>
    </w:rPr>
  </w:style>
  <w:style w:type="paragraph" w:styleId="Odstavecseseznamem">
    <w:name w:val="List Paragraph"/>
    <w:basedOn w:val="Normln"/>
    <w:uiPriority w:val="34"/>
    <w:qFormat/>
    <w:rsid w:val="005A05DE"/>
    <w:pPr>
      <w:ind w:left="720"/>
      <w:contextualSpacing/>
    </w:pPr>
  </w:style>
  <w:style w:type="character" w:styleId="Zdraznnintenzivn">
    <w:name w:val="Intense Emphasis"/>
    <w:basedOn w:val="Standardnpsmoodstavce"/>
    <w:uiPriority w:val="21"/>
    <w:qFormat/>
    <w:rsid w:val="005A05DE"/>
    <w:rPr>
      <w:i/>
      <w:iCs/>
      <w:color w:val="0F4761" w:themeColor="accent1" w:themeShade="BF"/>
    </w:rPr>
  </w:style>
  <w:style w:type="paragraph" w:styleId="Vrazncitt">
    <w:name w:val="Intense Quote"/>
    <w:basedOn w:val="Normln"/>
    <w:next w:val="Normln"/>
    <w:link w:val="VrazncittChar"/>
    <w:uiPriority w:val="30"/>
    <w:qFormat/>
    <w:rsid w:val="005A05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5A05DE"/>
    <w:rPr>
      <w:i/>
      <w:iCs/>
      <w:color w:val="0F4761" w:themeColor="accent1" w:themeShade="BF"/>
    </w:rPr>
  </w:style>
  <w:style w:type="character" w:styleId="Odkazintenzivn">
    <w:name w:val="Intense Reference"/>
    <w:basedOn w:val="Standardnpsmoodstavce"/>
    <w:uiPriority w:val="32"/>
    <w:qFormat/>
    <w:rsid w:val="005A05DE"/>
    <w:rPr>
      <w:b/>
      <w:bCs/>
      <w:smallCaps/>
      <w:color w:val="0F4761" w:themeColor="accent1" w:themeShade="BF"/>
      <w:spacing w:val="5"/>
    </w:rPr>
  </w:style>
  <w:style w:type="paragraph" w:styleId="Textpoznpodarou">
    <w:name w:val="footnote text"/>
    <w:basedOn w:val="Normln"/>
    <w:link w:val="TextpoznpodarouChar"/>
    <w:uiPriority w:val="8"/>
    <w:rsid w:val="008B5C1F"/>
    <w:pPr>
      <w:suppressAutoHyphens/>
      <w:spacing w:after="0" w:line="240" w:lineRule="auto"/>
      <w:jc w:val="both"/>
    </w:pPr>
    <w:rPr>
      <w:rFonts w:ascii="Arial" w:eastAsia="Times New Roman" w:hAnsi="Arial" w:cs="Times New Roman"/>
      <w:kern w:val="0"/>
      <w:sz w:val="18"/>
      <w:szCs w:val="20"/>
      <w:lang w:eastAsia="zh-CN"/>
      <w14:ligatures w14:val="none"/>
    </w:rPr>
  </w:style>
  <w:style w:type="character" w:customStyle="1" w:styleId="TextpoznpodarouChar">
    <w:name w:val="Text pozn. pod čarou Char"/>
    <w:basedOn w:val="Standardnpsmoodstavce"/>
    <w:link w:val="Textpoznpodarou"/>
    <w:uiPriority w:val="8"/>
    <w:rsid w:val="008B5C1F"/>
    <w:rPr>
      <w:rFonts w:ascii="Arial" w:eastAsia="Times New Roman" w:hAnsi="Arial" w:cs="Times New Roman"/>
      <w:kern w:val="0"/>
      <w:sz w:val="18"/>
      <w:szCs w:val="20"/>
      <w:lang w:eastAsia="zh-CN"/>
      <w14:ligatures w14:val="none"/>
    </w:rPr>
  </w:style>
  <w:style w:type="character" w:styleId="Znakapoznpodarou">
    <w:name w:val="footnote reference"/>
    <w:basedOn w:val="Standardnpsmoodstavce"/>
    <w:uiPriority w:val="99"/>
    <w:semiHidden/>
    <w:rsid w:val="008B5C1F"/>
    <w:rPr>
      <w:sz w:val="24"/>
      <w:vertAlign w:val="superscript"/>
    </w:rPr>
  </w:style>
  <w:style w:type="paragraph" w:customStyle="1" w:styleId="selnodrky">
    <w:name w:val="Číselné odrážky"/>
    <w:basedOn w:val="Normln"/>
    <w:next w:val="Normln"/>
    <w:link w:val="selnodrkyChar"/>
    <w:uiPriority w:val="1"/>
    <w:qFormat/>
    <w:rsid w:val="008B5C1F"/>
    <w:pPr>
      <w:keepNext/>
      <w:numPr>
        <w:numId w:val="1"/>
      </w:numPr>
      <w:tabs>
        <w:tab w:val="left" w:pos="680"/>
      </w:tabs>
      <w:suppressAutoHyphens/>
      <w:spacing w:before="240" w:after="0" w:line="240" w:lineRule="auto"/>
      <w:ind w:left="0" w:firstLine="0"/>
      <w:jc w:val="both"/>
    </w:pPr>
    <w:rPr>
      <w:rFonts w:ascii="Arial" w:eastAsia="Times New Roman" w:hAnsi="Arial" w:cs="Times New Roman"/>
      <w:kern w:val="0"/>
      <w:szCs w:val="20"/>
      <w:lang w:eastAsia="zh-CN"/>
      <w14:ligatures w14:val="none"/>
    </w:rPr>
  </w:style>
  <w:style w:type="character" w:customStyle="1" w:styleId="selnodrkyChar">
    <w:name w:val="Číselné odrážky Char"/>
    <w:basedOn w:val="Standardnpsmoodstavce"/>
    <w:link w:val="selnodrky"/>
    <w:uiPriority w:val="1"/>
    <w:rsid w:val="008B5C1F"/>
    <w:rPr>
      <w:rFonts w:ascii="Arial" w:eastAsia="Times New Roman" w:hAnsi="Arial" w:cs="Times New Roman"/>
      <w:kern w:val="0"/>
      <w:szCs w:val="20"/>
      <w:lang w:eastAsia="zh-CN"/>
      <w14:ligatures w14:val="none"/>
    </w:rPr>
  </w:style>
  <w:style w:type="character" w:styleId="Hypertextovodkaz">
    <w:name w:val="Hyperlink"/>
    <w:uiPriority w:val="99"/>
    <w:semiHidden/>
    <w:rsid w:val="008B5C1F"/>
    <w:rPr>
      <w:color w:val="0000FF"/>
      <w:u w:val="single"/>
    </w:rPr>
  </w:style>
  <w:style w:type="paragraph" w:customStyle="1" w:styleId="Symbolodrky">
    <w:name w:val="Symbol odrážky"/>
    <w:basedOn w:val="Normln"/>
    <w:link w:val="SymbolodrkyChar"/>
    <w:uiPriority w:val="1"/>
    <w:qFormat/>
    <w:rsid w:val="008B5C1F"/>
    <w:pPr>
      <w:numPr>
        <w:numId w:val="2"/>
      </w:numPr>
      <w:suppressAutoHyphens/>
      <w:spacing w:before="240" w:after="0" w:line="240" w:lineRule="auto"/>
      <w:jc w:val="both"/>
    </w:pPr>
    <w:rPr>
      <w:rFonts w:ascii="Arial" w:eastAsia="Times New Roman" w:hAnsi="Arial" w:cs="Times New Roman"/>
      <w:kern w:val="0"/>
      <w:szCs w:val="20"/>
      <w:lang w:eastAsia="zh-CN"/>
      <w14:ligatures w14:val="none"/>
    </w:rPr>
  </w:style>
  <w:style w:type="character" w:customStyle="1" w:styleId="SymbolodrkyChar">
    <w:name w:val="Symbol odrážky Char"/>
    <w:link w:val="Symbolodrky"/>
    <w:uiPriority w:val="1"/>
    <w:rsid w:val="008B5C1F"/>
    <w:rPr>
      <w:rFonts w:ascii="Arial" w:eastAsia="Times New Roman" w:hAnsi="Arial" w:cs="Times New Roman"/>
      <w:kern w:val="0"/>
      <w:szCs w:val="20"/>
      <w:lang w:eastAsia="zh-CN"/>
      <w14:ligatures w14:val="none"/>
    </w:rPr>
  </w:style>
  <w:style w:type="paragraph" w:styleId="Revize">
    <w:name w:val="Revision"/>
    <w:hidden/>
    <w:uiPriority w:val="99"/>
    <w:semiHidden/>
    <w:rsid w:val="00F46863"/>
    <w:pPr>
      <w:spacing w:after="0" w:line="240" w:lineRule="auto"/>
    </w:pPr>
  </w:style>
  <w:style w:type="character" w:styleId="Nevyeenzmnka">
    <w:name w:val="Unresolved Mention"/>
    <w:basedOn w:val="Standardnpsmoodstavce"/>
    <w:uiPriority w:val="99"/>
    <w:semiHidden/>
    <w:unhideWhenUsed/>
    <w:rsid w:val="00600360"/>
    <w:rPr>
      <w:color w:val="605E5C"/>
      <w:shd w:val="clear" w:color="auto" w:fill="E1DFDD"/>
    </w:rPr>
  </w:style>
  <w:style w:type="character" w:styleId="Sledovanodkaz">
    <w:name w:val="FollowedHyperlink"/>
    <w:basedOn w:val="Standardnpsmoodstavce"/>
    <w:uiPriority w:val="99"/>
    <w:semiHidden/>
    <w:unhideWhenUsed/>
    <w:rsid w:val="00DD048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info.mojedatovaschranka.cz/info/cs/65.htm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796</Words>
  <Characters>4702</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GFR</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Mattauschová Blanka Ing. (GFŘ)</dc:creator>
  <cp:keywords/>
  <dc:description/>
  <cp:lastModifiedBy>Mojžíš Václav Ing. (GFŘ)</cp:lastModifiedBy>
  <cp:revision>10</cp:revision>
  <dcterms:created xsi:type="dcterms:W3CDTF">2025-06-11T16:17:00Z</dcterms:created>
  <dcterms:modified xsi:type="dcterms:W3CDTF">2025-06-13T07:05:00Z</dcterms:modified>
</cp:coreProperties>
</file>