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D01738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5</w:t>
      </w:r>
      <w:bookmarkStart w:id="0" w:name="_GoBack"/>
      <w:bookmarkEnd w:id="0"/>
      <w:r w:rsidR="007F46DA">
        <w:rPr>
          <w:b/>
          <w:szCs w:val="22"/>
        </w:rPr>
        <w:t>/2017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781C54" w:rsidRDefault="003B6E28" w:rsidP="00244E43">
      <w:pPr>
        <w:pStyle w:val="My"/>
      </w:pPr>
      <w:r>
        <w:t xml:space="preserve">       </w:t>
      </w:r>
      <w:r w:rsidRPr="00781C54">
        <w:t xml:space="preserve">   </w:t>
      </w:r>
    </w:p>
    <w:p w:rsidR="003B6E28" w:rsidRPr="00244E43" w:rsidRDefault="003B6E28" w:rsidP="00244E43">
      <w:pPr>
        <w:pStyle w:val="My"/>
        <w:rPr>
          <w:b w:val="0"/>
        </w:rPr>
      </w:pPr>
      <w:r w:rsidRPr="00244E43">
        <w:rPr>
          <w:b w:val="0"/>
        </w:rPr>
        <w:t xml:space="preserve">          </w:t>
      </w:r>
    </w:p>
    <w:p w:rsidR="00FB49FA" w:rsidRPr="00FB49FA" w:rsidRDefault="007C0A62" w:rsidP="007F46DA">
      <w:r w:rsidRPr="00077E9A">
        <w:rPr>
          <w:b/>
        </w:rPr>
        <w:fldChar w:fldCharType="end"/>
      </w:r>
      <w:r w:rsidR="00FB49FA" w:rsidRPr="00FB49FA">
        <w:t xml:space="preserve">Finanční úřad pro Pardubický kraj </w:t>
      </w:r>
      <w:r w:rsidR="00FB49FA" w:rsidRPr="00636ECA">
        <w:rPr>
          <w:b/>
        </w:rPr>
        <w:t>poskytl</w:t>
      </w:r>
      <w:r w:rsidR="00FB49FA" w:rsidRPr="00FB49FA">
        <w:t xml:space="preserve"> postupem dle zákona č. 106/1999 Sb., </w:t>
      </w:r>
      <w:r w:rsidR="00FB49FA">
        <w:br/>
      </w:r>
      <w:r w:rsidR="00FB49FA" w:rsidRPr="00FB49FA">
        <w:t>o svobodném přístupu k informacím, ve znění pozdějších předpisů, níže uvedené informace</w:t>
      </w:r>
      <w:r w:rsidR="0047509C">
        <w:t>:</w:t>
      </w:r>
    </w:p>
    <w:p w:rsidR="00FB49FA" w:rsidRDefault="00FB49FA" w:rsidP="007F46DA">
      <w:pPr>
        <w:rPr>
          <w:b/>
        </w:rPr>
      </w:pPr>
    </w:p>
    <w:p w:rsidR="00FB49FA" w:rsidRDefault="00FB49FA" w:rsidP="007F46DA">
      <w:pPr>
        <w:rPr>
          <w:szCs w:val="22"/>
        </w:rPr>
      </w:pPr>
    </w:p>
    <w:p w:rsidR="001B605A" w:rsidRDefault="00FB49FA" w:rsidP="00FB49FA">
      <w:pPr>
        <w:rPr>
          <w:szCs w:val="22"/>
        </w:rPr>
      </w:pPr>
      <w:r w:rsidRPr="00FB49FA">
        <w:rPr>
          <w:szCs w:val="22"/>
        </w:rPr>
        <w:t>Žádostí byly po povinném subjektu požadovány tyto informace</w:t>
      </w:r>
      <w:r>
        <w:rPr>
          <w:szCs w:val="22"/>
        </w:rPr>
        <w:t>:</w:t>
      </w:r>
    </w:p>
    <w:p w:rsidR="00636ECA" w:rsidRDefault="00636ECA" w:rsidP="00FB49FA">
      <w:pPr>
        <w:rPr>
          <w:szCs w:val="22"/>
        </w:rPr>
      </w:pPr>
    </w:p>
    <w:p w:rsidR="0047509C" w:rsidRPr="0038283C" w:rsidRDefault="0047509C" w:rsidP="0047509C">
      <w:pPr>
        <w:pStyle w:val="Odstavecseseznamem"/>
        <w:numPr>
          <w:ilvl w:val="0"/>
          <w:numId w:val="8"/>
        </w:numPr>
        <w:rPr>
          <w:bCs/>
          <w:i/>
        </w:rPr>
      </w:pPr>
      <w:r w:rsidRPr="0038283C">
        <w:rPr>
          <w:bCs/>
          <w:i/>
        </w:rPr>
        <w:t xml:space="preserve">na základě jakých kritérií byli vybráni soudní exekutoři/exekutorské úřady, kterým byly předány k vymáhání daňové nedoplatky v souladu se zněním § 175 odst. 1 zákona </w:t>
      </w:r>
      <w:r>
        <w:rPr>
          <w:bCs/>
          <w:i/>
        </w:rPr>
        <w:br/>
      </w:r>
      <w:r w:rsidRPr="0038283C">
        <w:rPr>
          <w:bCs/>
          <w:i/>
        </w:rPr>
        <w:t>č. 280/2009 Sb., za posledních pět let,</w:t>
      </w:r>
    </w:p>
    <w:p w:rsidR="0047509C" w:rsidRPr="0038283C" w:rsidRDefault="0047509C" w:rsidP="0047509C">
      <w:pPr>
        <w:pStyle w:val="Odstavecseseznamem"/>
        <w:numPr>
          <w:ilvl w:val="0"/>
          <w:numId w:val="8"/>
        </w:numPr>
        <w:rPr>
          <w:bCs/>
          <w:i/>
        </w:rPr>
      </w:pPr>
      <w:r w:rsidRPr="0038283C">
        <w:rPr>
          <w:bCs/>
          <w:i/>
        </w:rPr>
        <w:t>procentuální úspěšnosti řízení, jejichž předmětem bylo vymáhání daňových nedoplatků a které byly předány k vymáhání soudním exekutorům za posledních pět let (tzn. procentuální vyjádření úspěšně vymožených řízení ve vztahu s celkovým počtem předaných řízení jednotlivě za rok 2016, 2015, 2014, 2013 a 2012).</w:t>
      </w:r>
    </w:p>
    <w:p w:rsidR="0047509C" w:rsidRDefault="0047509C" w:rsidP="0047509C"/>
    <w:p w:rsidR="00FB49FA" w:rsidRDefault="00FB49FA" w:rsidP="003B6E28">
      <w:r w:rsidRPr="00FB49FA">
        <w:t>Finanční úřad pro Pardubický kraj poskytl na základě žádosti následující informaci:</w:t>
      </w:r>
    </w:p>
    <w:p w:rsidR="00FA7339" w:rsidRDefault="00FA7339" w:rsidP="003B6E28"/>
    <w:p w:rsidR="0047509C" w:rsidRPr="00E77B0E" w:rsidRDefault="0047509C" w:rsidP="0047509C">
      <w:pPr>
        <w:pStyle w:val="Odstavecseseznamem"/>
        <w:numPr>
          <w:ilvl w:val="0"/>
          <w:numId w:val="9"/>
        </w:numPr>
        <w:rPr>
          <w:b/>
          <w:bCs/>
        </w:rPr>
      </w:pPr>
      <w:r w:rsidRPr="00E77B0E">
        <w:rPr>
          <w:bCs/>
        </w:rPr>
        <w:t xml:space="preserve">Finanční úřad pro Pardubický kraj v uvedeném období (2012 – 2016) předal soudním exekutorům </w:t>
      </w:r>
      <w:r w:rsidRPr="00E77B0E">
        <w:rPr>
          <w:b/>
          <w:bCs/>
        </w:rPr>
        <w:t>3 případy</w:t>
      </w:r>
      <w:r w:rsidRPr="00E77B0E">
        <w:rPr>
          <w:bCs/>
        </w:rPr>
        <w:t xml:space="preserve">. </w:t>
      </w:r>
    </w:p>
    <w:p w:rsidR="0047509C" w:rsidRPr="00E77B0E" w:rsidRDefault="0047509C" w:rsidP="0047509C">
      <w:pPr>
        <w:ind w:firstLine="709"/>
        <w:rPr>
          <w:bCs/>
        </w:rPr>
      </w:pPr>
      <w:r w:rsidRPr="00E77B0E">
        <w:rPr>
          <w:bCs/>
        </w:rPr>
        <w:t>K předávání nedoplatků soudním exekutorům není vydána žádná metodika.</w:t>
      </w:r>
    </w:p>
    <w:p w:rsidR="0047509C" w:rsidRDefault="0047509C" w:rsidP="0047509C">
      <w:pPr>
        <w:ind w:left="709"/>
        <w:rPr>
          <w:bCs/>
        </w:rPr>
      </w:pPr>
      <w:r>
        <w:rPr>
          <w:bCs/>
        </w:rPr>
        <w:t xml:space="preserve">Ve dvou případech byl soudní exekutor zvolen </w:t>
      </w:r>
      <w:r w:rsidRPr="00D46456">
        <w:rPr>
          <w:bCs/>
        </w:rPr>
        <w:t>dle síd</w:t>
      </w:r>
      <w:r>
        <w:rPr>
          <w:bCs/>
        </w:rPr>
        <w:t>e</w:t>
      </w:r>
      <w:r w:rsidRPr="00D46456">
        <w:rPr>
          <w:bCs/>
        </w:rPr>
        <w:t>l jejich podnikání</w:t>
      </w:r>
      <w:r>
        <w:rPr>
          <w:bCs/>
        </w:rPr>
        <w:t>, tzn. blízkosti exekučního úřadu. V jednom případě byl soudní exekutor vybrán soudem z exekutorů jmenovaných do jeho obvodu.</w:t>
      </w:r>
    </w:p>
    <w:p w:rsidR="0047509C" w:rsidRPr="0047509C" w:rsidRDefault="0047509C" w:rsidP="0047509C">
      <w:pPr>
        <w:pStyle w:val="Odstavecseseznamem"/>
        <w:numPr>
          <w:ilvl w:val="0"/>
          <w:numId w:val="9"/>
        </w:numPr>
        <w:rPr>
          <w:bCs/>
        </w:rPr>
      </w:pPr>
      <w:r w:rsidRPr="0047509C">
        <w:rPr>
          <w:bCs/>
        </w:rPr>
        <w:t>Procentuální úspěšnost řízení dle znění žádosti je vyjádřena za jednotlivé roky v tabulce:</w:t>
      </w:r>
    </w:p>
    <w:p w:rsidR="0047509C" w:rsidRPr="00E77B0E" w:rsidRDefault="0047509C" w:rsidP="0047509C">
      <w:pPr>
        <w:rPr>
          <w:bCs/>
        </w:rPr>
      </w:pPr>
    </w:p>
    <w:p w:rsidR="0047509C" w:rsidRDefault="0047509C" w:rsidP="0047509C">
      <w:pPr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885"/>
        <w:gridCol w:w="2651"/>
        <w:gridCol w:w="3792"/>
      </w:tblGrid>
      <w:tr w:rsidR="0047509C" w:rsidTr="00B8054A">
        <w:trPr>
          <w:trHeight w:val="693"/>
        </w:trPr>
        <w:tc>
          <w:tcPr>
            <w:tcW w:w="959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</w:p>
          <w:p w:rsidR="0047509C" w:rsidRDefault="0047509C" w:rsidP="00B8054A">
            <w:pPr>
              <w:jc w:val="center"/>
              <w:rPr>
                <w:bCs/>
              </w:rPr>
            </w:pPr>
          </w:p>
        </w:tc>
        <w:tc>
          <w:tcPr>
            <w:tcW w:w="1885" w:type="dxa"/>
            <w:vAlign w:val="center"/>
          </w:tcPr>
          <w:p w:rsidR="0047509C" w:rsidRDefault="0047509C" w:rsidP="00B805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:rsidR="0047509C" w:rsidRDefault="0047509C" w:rsidP="00B805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počet podaných návrhů</w:t>
            </w:r>
          </w:p>
          <w:p w:rsidR="0047509C" w:rsidRDefault="0047509C" w:rsidP="00B8054A">
            <w:pPr>
              <w:jc w:val="center"/>
              <w:rPr>
                <w:bCs/>
              </w:rPr>
            </w:pPr>
          </w:p>
        </w:tc>
        <w:tc>
          <w:tcPr>
            <w:tcW w:w="2651" w:type="dxa"/>
            <w:vAlign w:val="center"/>
          </w:tcPr>
          <w:p w:rsidR="0047509C" w:rsidRDefault="0047509C" w:rsidP="00B805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:rsidR="0047509C" w:rsidRDefault="0047509C" w:rsidP="00B805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počet případů s vymoženým výsledkem</w:t>
            </w:r>
          </w:p>
          <w:p w:rsidR="0047509C" w:rsidRDefault="0047509C" w:rsidP="00B8054A">
            <w:pPr>
              <w:jc w:val="center"/>
              <w:rPr>
                <w:bCs/>
              </w:rPr>
            </w:pPr>
          </w:p>
        </w:tc>
        <w:tc>
          <w:tcPr>
            <w:tcW w:w="3792" w:type="dxa"/>
            <w:vAlign w:val="center"/>
          </w:tcPr>
          <w:p w:rsidR="0047509C" w:rsidRDefault="0047509C" w:rsidP="00B805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vyjádření úspěšnosti vymožení (v %)</w:t>
            </w:r>
          </w:p>
          <w:p w:rsidR="0047509C" w:rsidRDefault="0047509C" w:rsidP="00B8054A">
            <w:pPr>
              <w:jc w:val="center"/>
              <w:rPr>
                <w:bCs/>
              </w:rPr>
            </w:pPr>
          </w:p>
        </w:tc>
      </w:tr>
      <w:tr w:rsidR="0047509C" w:rsidTr="00B8054A">
        <w:trPr>
          <w:trHeight w:val="463"/>
        </w:trPr>
        <w:tc>
          <w:tcPr>
            <w:tcW w:w="959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2012</w:t>
            </w:r>
          </w:p>
        </w:tc>
        <w:tc>
          <w:tcPr>
            <w:tcW w:w="1885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51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792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7509C" w:rsidTr="00B8054A">
        <w:trPr>
          <w:trHeight w:val="412"/>
        </w:trPr>
        <w:tc>
          <w:tcPr>
            <w:tcW w:w="959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885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51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92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47509C" w:rsidTr="00B8054A">
        <w:trPr>
          <w:trHeight w:val="419"/>
        </w:trPr>
        <w:tc>
          <w:tcPr>
            <w:tcW w:w="959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1885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651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792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47509C" w:rsidTr="00B8054A">
        <w:trPr>
          <w:trHeight w:val="405"/>
        </w:trPr>
        <w:tc>
          <w:tcPr>
            <w:tcW w:w="959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2015</w:t>
            </w:r>
          </w:p>
        </w:tc>
        <w:tc>
          <w:tcPr>
            <w:tcW w:w="1885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651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792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47509C" w:rsidTr="00B8054A">
        <w:trPr>
          <w:trHeight w:val="411"/>
        </w:trPr>
        <w:tc>
          <w:tcPr>
            <w:tcW w:w="959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2016</w:t>
            </w:r>
          </w:p>
        </w:tc>
        <w:tc>
          <w:tcPr>
            <w:tcW w:w="1885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51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792" w:type="dxa"/>
            <w:vAlign w:val="center"/>
          </w:tcPr>
          <w:p w:rsidR="0047509C" w:rsidRDefault="0047509C" w:rsidP="00B8054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47509C" w:rsidRPr="00E77B0E" w:rsidRDefault="0047509C" w:rsidP="0047509C">
      <w:pPr>
        <w:rPr>
          <w:bCs/>
        </w:rPr>
      </w:pPr>
    </w:p>
    <w:p w:rsidR="00FA7339" w:rsidRPr="00FB49FA" w:rsidRDefault="00FA7339" w:rsidP="003B6E28"/>
    <w:sectPr w:rsidR="00FA7339" w:rsidRPr="00FB49FA" w:rsidSect="006E5E21">
      <w:headerReference w:type="default" r:id="rId9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E3DE9"/>
    <w:multiLevelType w:val="hybridMultilevel"/>
    <w:tmpl w:val="CF0C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A4DC0"/>
    <w:multiLevelType w:val="hybridMultilevel"/>
    <w:tmpl w:val="2B38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21080"/>
    <w:rsid w:val="00125E1C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72F1"/>
    <w:rsid w:val="001D3E02"/>
    <w:rsid w:val="001E2042"/>
    <w:rsid w:val="001E5303"/>
    <w:rsid w:val="001F0AA7"/>
    <w:rsid w:val="00201514"/>
    <w:rsid w:val="00207B3F"/>
    <w:rsid w:val="00226C07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A27B5"/>
    <w:rsid w:val="002D4C99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930FB"/>
    <w:rsid w:val="003A0E25"/>
    <w:rsid w:val="003B6E28"/>
    <w:rsid w:val="003C49F9"/>
    <w:rsid w:val="003D0AEF"/>
    <w:rsid w:val="003D74B7"/>
    <w:rsid w:val="003F1BCD"/>
    <w:rsid w:val="003F4579"/>
    <w:rsid w:val="00416A91"/>
    <w:rsid w:val="00431023"/>
    <w:rsid w:val="00450973"/>
    <w:rsid w:val="00456A8D"/>
    <w:rsid w:val="00473F5B"/>
    <w:rsid w:val="0047509C"/>
    <w:rsid w:val="00485EAD"/>
    <w:rsid w:val="00491E35"/>
    <w:rsid w:val="0049497F"/>
    <w:rsid w:val="004B2982"/>
    <w:rsid w:val="004B4CD1"/>
    <w:rsid w:val="004B7C7B"/>
    <w:rsid w:val="004E209F"/>
    <w:rsid w:val="004F5BC6"/>
    <w:rsid w:val="00511405"/>
    <w:rsid w:val="005150B9"/>
    <w:rsid w:val="0052580E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63F0"/>
    <w:rsid w:val="00736B56"/>
    <w:rsid w:val="0074099B"/>
    <w:rsid w:val="007424FF"/>
    <w:rsid w:val="00746F4E"/>
    <w:rsid w:val="0075557A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9003FC"/>
    <w:rsid w:val="0090105E"/>
    <w:rsid w:val="00902122"/>
    <w:rsid w:val="009056CA"/>
    <w:rsid w:val="009071A8"/>
    <w:rsid w:val="009178D3"/>
    <w:rsid w:val="00925E06"/>
    <w:rsid w:val="009334B9"/>
    <w:rsid w:val="00934EF9"/>
    <w:rsid w:val="00952AAE"/>
    <w:rsid w:val="00963F29"/>
    <w:rsid w:val="009758C4"/>
    <w:rsid w:val="00992729"/>
    <w:rsid w:val="00992A31"/>
    <w:rsid w:val="00992C45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6C0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92CBB"/>
    <w:rsid w:val="00CA4FB6"/>
    <w:rsid w:val="00CB4A6C"/>
    <w:rsid w:val="00CC2704"/>
    <w:rsid w:val="00CC49E1"/>
    <w:rsid w:val="00D01738"/>
    <w:rsid w:val="00D03A9C"/>
    <w:rsid w:val="00D040D3"/>
    <w:rsid w:val="00D1715A"/>
    <w:rsid w:val="00D269A9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3676"/>
    <w:rsid w:val="00ED583D"/>
    <w:rsid w:val="00EF6AC5"/>
    <w:rsid w:val="00F14CDA"/>
    <w:rsid w:val="00F22CD2"/>
    <w:rsid w:val="00F415D3"/>
    <w:rsid w:val="00F4348C"/>
    <w:rsid w:val="00F54D83"/>
    <w:rsid w:val="00F76604"/>
    <w:rsid w:val="00F902FC"/>
    <w:rsid w:val="00F94E56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640E1-8E43-4ED8-B605-D947BD84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Bc. (FÚ pro Pardubický kraj)</cp:lastModifiedBy>
  <cp:revision>3</cp:revision>
  <cp:lastPrinted>2017-01-27T07:39:00Z</cp:lastPrinted>
  <dcterms:created xsi:type="dcterms:W3CDTF">2017-07-26T11:51:00Z</dcterms:created>
  <dcterms:modified xsi:type="dcterms:W3CDTF">2017-08-18T10:11:00Z</dcterms:modified>
</cp:coreProperties>
</file>