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1180" w14:textId="446CD129" w:rsidR="00A247A9" w:rsidRDefault="00A247A9" w:rsidP="00A247A9">
      <w:pPr>
        <w:rPr>
          <w:rFonts w:ascii="Arial" w:hAnsi="Arial" w:cs="Arial"/>
        </w:rPr>
      </w:pPr>
      <w:r>
        <w:rPr>
          <w:rFonts w:ascii="Arial" w:hAnsi="Arial" w:cs="Arial"/>
          <w:b/>
          <w:sz w:val="24"/>
          <w:szCs w:val="24"/>
        </w:rPr>
        <w:t>Finanční úřad pro hlavní město Prahu</w:t>
      </w:r>
      <w:r>
        <w:rPr>
          <w:rFonts w:ascii="Arial" w:hAnsi="Arial" w:cs="Arial"/>
          <w:b/>
          <w:sz w:val="24"/>
          <w:szCs w:val="24"/>
        </w:rPr>
        <w:br/>
      </w:r>
      <w:r>
        <w:rPr>
          <w:rFonts w:ascii="Arial" w:hAnsi="Arial" w:cs="Arial"/>
        </w:rPr>
        <w:t xml:space="preserve">Štěpánská 28,  111 21    Praha 1   </w:t>
      </w:r>
      <w:r>
        <w:rPr>
          <w:rFonts w:ascii="Arial" w:hAnsi="Arial" w:cs="Arial"/>
          <w:sz w:val="24"/>
          <w:szCs w:val="24"/>
        </w:rPr>
        <w:t xml:space="preserve">     </w:t>
      </w:r>
    </w:p>
    <w:p w14:paraId="382B2310" w14:textId="693AC611" w:rsidR="00A247A9" w:rsidRDefault="00DE4756" w:rsidP="00A247A9">
      <w:pPr>
        <w:jc w:val="center"/>
        <w:rPr>
          <w:rFonts w:ascii="Arial" w:hAnsi="Arial" w:cs="Arial"/>
        </w:rPr>
      </w:pPr>
      <w:r>
        <w:rPr>
          <w:rFonts w:ascii="Arial" w:hAnsi="Arial" w:cs="Arial"/>
        </w:rPr>
        <w:t>1</w:t>
      </w:r>
      <w:r w:rsidR="00AC50B6">
        <w:rPr>
          <w:rFonts w:ascii="Arial" w:hAnsi="Arial" w:cs="Arial"/>
        </w:rPr>
        <w:t>4</w:t>
      </w:r>
      <w:r w:rsidR="00A247A9">
        <w:rPr>
          <w:rFonts w:ascii="Arial" w:hAnsi="Arial" w:cs="Arial"/>
        </w:rPr>
        <w:t>/202</w:t>
      </w:r>
      <w:r w:rsidR="00884203">
        <w:rPr>
          <w:rFonts w:ascii="Arial" w:hAnsi="Arial" w:cs="Arial"/>
        </w:rPr>
        <w:t>3</w:t>
      </w:r>
    </w:p>
    <w:p w14:paraId="69ECFA19" w14:textId="6BDB928D" w:rsidR="00A247A9" w:rsidRDefault="00A247A9" w:rsidP="00A247A9">
      <w:pPr>
        <w:jc w:val="center"/>
        <w:rPr>
          <w:rFonts w:ascii="Arial" w:hAnsi="Arial" w:cs="Arial"/>
        </w:rPr>
      </w:pPr>
      <w:r>
        <w:rPr>
          <w:rFonts w:ascii="Arial" w:hAnsi="Arial" w:cs="Arial"/>
        </w:rPr>
        <w:br/>
        <w:t xml:space="preserve">Poskytnutí informace podle zákona č. 106/1999 Sb., o svobodném přístupu k informacím, </w:t>
      </w:r>
      <w:r>
        <w:rPr>
          <w:rFonts w:ascii="Arial" w:hAnsi="Arial" w:cs="Arial"/>
        </w:rPr>
        <w:br/>
        <w:t>ve znění pozdějších předpisů</w:t>
      </w:r>
    </w:p>
    <w:p w14:paraId="206257F0" w14:textId="75845BE6" w:rsidR="00AC50B6" w:rsidRDefault="00A247A9" w:rsidP="00A247A9">
      <w:pPr>
        <w:jc w:val="both"/>
        <w:rPr>
          <w:rFonts w:ascii="Arial" w:hAnsi="Arial" w:cs="Arial"/>
        </w:rPr>
      </w:pPr>
      <w:r>
        <w:rPr>
          <w:rFonts w:ascii="Arial" w:hAnsi="Arial" w:cs="Arial"/>
        </w:rPr>
        <w:t xml:space="preserve">Finanční úřad pro hlavní město Prahu poskytl postupem podle zákona č. 106/1999 Sb., </w:t>
      </w:r>
      <w:r>
        <w:rPr>
          <w:rFonts w:ascii="Arial" w:hAnsi="Arial" w:cs="Arial"/>
        </w:rPr>
        <w:br/>
        <w:t>o  svobodném přístupu k informacím, ve znění pozdějších předpisů, níže uvedené informace.</w:t>
      </w:r>
      <w:r w:rsidR="00AC50B6">
        <w:rPr>
          <w:rFonts w:ascii="Arial" w:hAnsi="Arial" w:cs="Arial"/>
        </w:rPr>
        <w:br/>
        <w:t>Žádostí požadováno sdělení:</w:t>
      </w:r>
    </w:p>
    <w:p w14:paraId="31963E4B" w14:textId="77777777" w:rsidR="00AC50B6" w:rsidRPr="00AC50B6" w:rsidRDefault="00AC50B6" w:rsidP="00AC50B6">
      <w:pPr>
        <w:spacing w:after="0"/>
        <w:jc w:val="both"/>
        <w:rPr>
          <w:rFonts w:ascii="Arial" w:eastAsia="Calibri" w:hAnsi="Arial" w:cs="Arial"/>
          <w:i/>
          <w:iCs/>
        </w:rPr>
      </w:pPr>
      <w:r w:rsidRPr="00AC50B6">
        <w:rPr>
          <w:rFonts w:ascii="Arial" w:eastAsia="Calibri" w:hAnsi="Arial" w:cs="Arial"/>
          <w:i/>
          <w:iCs/>
        </w:rPr>
        <w:t>1. Úplný seznam podkladů, které je finanční úřad v rámci kontrolní činnosti, ke které je kompetentní, oprávněn vyžadovat po kontrolovaném pro doložení plnění povinností ve vztahu k provozu služebních vozidel dle příslušných účinných právních norem.</w:t>
      </w:r>
    </w:p>
    <w:p w14:paraId="6BE08ACD" w14:textId="77777777" w:rsidR="00AC50B6" w:rsidRPr="00AC50B6" w:rsidRDefault="00AC50B6" w:rsidP="00AC50B6">
      <w:pPr>
        <w:spacing w:after="0"/>
        <w:jc w:val="both"/>
        <w:rPr>
          <w:rFonts w:ascii="Arial" w:eastAsia="Calibri" w:hAnsi="Arial" w:cs="Arial"/>
          <w:i/>
          <w:iCs/>
        </w:rPr>
      </w:pPr>
    </w:p>
    <w:p w14:paraId="2039C639" w14:textId="77777777" w:rsidR="00AC50B6" w:rsidRPr="00AC50B6" w:rsidRDefault="00AC50B6" w:rsidP="00AC50B6">
      <w:pPr>
        <w:spacing w:after="0"/>
        <w:jc w:val="both"/>
        <w:rPr>
          <w:rFonts w:ascii="Arial" w:eastAsia="Calibri" w:hAnsi="Arial" w:cs="Arial"/>
          <w:i/>
          <w:iCs/>
        </w:rPr>
      </w:pPr>
      <w:r w:rsidRPr="00AC50B6">
        <w:rPr>
          <w:rFonts w:ascii="Arial" w:eastAsia="Calibri" w:hAnsi="Arial" w:cs="Arial"/>
          <w:i/>
          <w:iCs/>
        </w:rPr>
        <w:t>2. V jaké formě (myšleno forma fyzická/papírová, elektronická, nebo dle volby kontrolovaného) je finanční úřad v rámci kontrolní činnosti, ke které je kompetentní, oprávněn vyžadovat podklady dle bodu 1 výše pro doložení plnění povinností ve vztahu k provozu služebních vozidel dle příslušných účinných právních norem.</w:t>
      </w:r>
    </w:p>
    <w:p w14:paraId="637633F9" w14:textId="77777777" w:rsidR="00AC50B6" w:rsidRPr="00AC50B6" w:rsidRDefault="00AC50B6" w:rsidP="00AC50B6">
      <w:pPr>
        <w:spacing w:after="0"/>
        <w:jc w:val="both"/>
        <w:rPr>
          <w:rFonts w:ascii="Arial" w:eastAsia="Calibri" w:hAnsi="Arial" w:cs="Arial"/>
          <w:i/>
          <w:iCs/>
        </w:rPr>
      </w:pPr>
    </w:p>
    <w:p w14:paraId="48B4CB4C" w14:textId="191386D3" w:rsidR="00AC50B6" w:rsidRPr="00AC50B6" w:rsidRDefault="00AC50B6" w:rsidP="00AC50B6">
      <w:pPr>
        <w:spacing w:after="0"/>
        <w:jc w:val="both"/>
        <w:rPr>
          <w:rFonts w:ascii="Arial" w:eastAsia="Calibri" w:hAnsi="Arial" w:cs="Arial"/>
          <w:i/>
          <w:iCs/>
        </w:rPr>
      </w:pPr>
      <w:r w:rsidRPr="00AC50B6">
        <w:rPr>
          <w:rFonts w:ascii="Arial" w:eastAsia="Calibri" w:hAnsi="Arial" w:cs="Arial"/>
          <w:i/>
          <w:iCs/>
        </w:rPr>
        <w:t>3. Po jakou maximální dobu je finanční úřad v rámci kontrolní činnosti, ke které je kompetentní, oprávněn vyžadovat jednotlivé podklady dle bodu 1 výše pro doložení plnění povinností ve vztahu k provozu služebních vozidel dle příslušných účinných právních norem.</w:t>
      </w:r>
    </w:p>
    <w:p w14:paraId="5AE7F567" w14:textId="77777777" w:rsidR="00AC50B6" w:rsidRPr="00AC50B6" w:rsidRDefault="00AC50B6" w:rsidP="00AC50B6">
      <w:pPr>
        <w:spacing w:after="0"/>
        <w:jc w:val="both"/>
        <w:rPr>
          <w:rFonts w:ascii="Arial" w:eastAsia="Calibri" w:hAnsi="Arial" w:cs="Arial"/>
          <w:i/>
          <w:iCs/>
        </w:rPr>
      </w:pPr>
    </w:p>
    <w:p w14:paraId="0FBE659C" w14:textId="77777777" w:rsidR="00AC50B6" w:rsidRPr="00AC50B6" w:rsidRDefault="00AC50B6" w:rsidP="00AC50B6">
      <w:pPr>
        <w:contextualSpacing/>
        <w:jc w:val="both"/>
        <w:rPr>
          <w:rFonts w:ascii="Arial" w:eastAsia="Calibri" w:hAnsi="Arial" w:cs="Times New Roman"/>
          <w:color w:val="000000"/>
          <w:szCs w:val="24"/>
        </w:rPr>
      </w:pPr>
    </w:p>
    <w:p w14:paraId="26ADB66B" w14:textId="77777777" w:rsidR="00AC50B6" w:rsidRPr="0017282F" w:rsidRDefault="00AC50B6" w:rsidP="00AC50B6">
      <w:pPr>
        <w:jc w:val="both"/>
        <w:rPr>
          <w:rFonts w:ascii="Arial" w:hAnsi="Arial" w:cs="Arial"/>
          <w:b/>
          <w:bCs/>
        </w:rPr>
      </w:pPr>
      <w:r w:rsidRPr="0017282F">
        <w:rPr>
          <w:rFonts w:ascii="Arial" w:hAnsi="Arial" w:cs="Arial"/>
          <w:b/>
          <w:bCs/>
        </w:rPr>
        <w:t xml:space="preserve">K žádosti bylo sděleno následující: </w:t>
      </w:r>
    </w:p>
    <w:p w14:paraId="4F1C98E6" w14:textId="77777777" w:rsidR="00AC50B6" w:rsidRPr="00AC50B6" w:rsidRDefault="00AC50B6" w:rsidP="00AC50B6">
      <w:pPr>
        <w:jc w:val="both"/>
        <w:rPr>
          <w:rFonts w:ascii="Arial" w:eastAsia="Calibri" w:hAnsi="Arial" w:cs="Arial"/>
        </w:rPr>
      </w:pPr>
      <w:r w:rsidRPr="00AC50B6">
        <w:rPr>
          <w:rFonts w:ascii="Arial" w:eastAsia="Calibri" w:hAnsi="Arial" w:cs="Arial"/>
          <w:color w:val="000000"/>
          <w:szCs w:val="24"/>
        </w:rPr>
        <w:t xml:space="preserve">1. Daňový </w:t>
      </w:r>
      <w:r w:rsidRPr="00AC50B6">
        <w:rPr>
          <w:rFonts w:ascii="Arial" w:eastAsia="Calibri" w:hAnsi="Arial" w:cs="Arial"/>
        </w:rPr>
        <w:t xml:space="preserve">subjekt musí prokázat, že provoz vozidel souvisí s podnikatelkou činností. Dle ustanovení § 24 odst. 1 zákona č. 586/1992 Sb., o daních z příjmů, ve znění pozdějších předpisů, (dále jen „zákon o daních z příjmů“) výdaje (náklady) </w:t>
      </w:r>
      <w:r w:rsidRPr="00AC50B6">
        <w:rPr>
          <w:rFonts w:ascii="Arial" w:eastAsia="Calibri" w:hAnsi="Arial" w:cs="Arial"/>
          <w:u w:val="single"/>
        </w:rPr>
        <w:t>vynaložené na dosažení, zajištění a udržení zdanitelných příjmů</w:t>
      </w:r>
      <w:r w:rsidRPr="00AC50B6">
        <w:rPr>
          <w:rFonts w:ascii="Arial" w:eastAsia="Calibri" w:hAnsi="Arial" w:cs="Arial"/>
        </w:rPr>
        <w:t xml:space="preserve"> se pro zjištění základu daně odečtou </w:t>
      </w:r>
      <w:r w:rsidRPr="00AC50B6">
        <w:rPr>
          <w:rFonts w:ascii="Arial" w:eastAsia="Calibri" w:hAnsi="Arial" w:cs="Arial"/>
          <w:u w:val="single"/>
        </w:rPr>
        <w:t>ve výši prokázané poplatníkem</w:t>
      </w:r>
      <w:r w:rsidRPr="00AC50B6">
        <w:rPr>
          <w:rFonts w:ascii="Arial" w:eastAsia="Calibri" w:hAnsi="Arial" w:cs="Arial"/>
        </w:rPr>
        <w:t xml:space="preserve">, pokud výše výdaje (nákladu) není nijak dál omezena buď tímto zákonem nebo zvláštními předpisy. V tomto ohledu je důkazní břemeno na daňovém subjektu. Ten musí být schopen prokázat, že daný výdaj souvisí s jeho podnikatelskou činností, ze které generuje zdanitelné příjmy. </w:t>
      </w:r>
    </w:p>
    <w:p w14:paraId="17228E44" w14:textId="77777777" w:rsidR="00AC50B6" w:rsidRPr="00AC50B6" w:rsidRDefault="00AC50B6" w:rsidP="00AC50B6">
      <w:pPr>
        <w:jc w:val="both"/>
        <w:rPr>
          <w:rFonts w:ascii="Arial" w:eastAsia="Calibri" w:hAnsi="Arial" w:cs="Arial"/>
        </w:rPr>
      </w:pPr>
      <w:r w:rsidRPr="00AC50B6">
        <w:rPr>
          <w:rFonts w:ascii="Arial" w:eastAsia="Calibri" w:hAnsi="Arial" w:cs="Arial"/>
        </w:rPr>
        <w:t>Z procesního hlediska zákon č. 280/2009 Sb., daňový řád, ve znění pozdějších předpisů (dále jen „daňový řád“) nijak neomezuje daňový subjekt v tom, jakými důkazními prostředky se rozhodne prokázat, že daný výdaj uplatněný v základu daně skutečně vynaložil a že tento výdaj souvisí s jeho zdanitelnými příjmy (§ 93 daňového řádu).</w:t>
      </w:r>
    </w:p>
    <w:p w14:paraId="23B890F6" w14:textId="77777777" w:rsidR="00AC50B6" w:rsidRPr="00AC50B6" w:rsidRDefault="00AC50B6" w:rsidP="00AC50B6">
      <w:pPr>
        <w:jc w:val="both"/>
        <w:rPr>
          <w:rFonts w:ascii="Arial" w:eastAsia="Calibri" w:hAnsi="Arial" w:cs="Arial"/>
        </w:rPr>
      </w:pPr>
      <w:r w:rsidRPr="00AC50B6">
        <w:rPr>
          <w:rFonts w:ascii="Arial" w:eastAsia="Calibri" w:hAnsi="Arial" w:cs="Arial"/>
        </w:rPr>
        <w:t>Pokud se týče provozu služebních vozidel, vhodným důkazním prostředkem se jeví řádně vedená kniha jízd, ze které je možné tyto informace vyčíst. Pokud se ale daňový subjekt rozhodne, že zvolí jiné důkazní prostředky, kterými lze zjistit skutečný stav věci a ověřit skutečnosti rozhodné pro správné zjištění a stanovení daně, je to jen na něm.</w:t>
      </w:r>
    </w:p>
    <w:p w14:paraId="7A9DE111" w14:textId="77777777" w:rsidR="00AC50B6" w:rsidRPr="00AC50B6" w:rsidRDefault="00AC50B6" w:rsidP="00AC50B6">
      <w:pPr>
        <w:jc w:val="both"/>
        <w:rPr>
          <w:rFonts w:ascii="Arial" w:eastAsia="Calibri" w:hAnsi="Arial" w:cs="Arial"/>
        </w:rPr>
      </w:pPr>
    </w:p>
    <w:p w14:paraId="15D02FC1" w14:textId="77777777" w:rsidR="00AC50B6" w:rsidRPr="00AC50B6" w:rsidRDefault="00AC50B6" w:rsidP="00AC50B6">
      <w:pPr>
        <w:jc w:val="both"/>
        <w:rPr>
          <w:rFonts w:ascii="Arial" w:eastAsia="Calibri" w:hAnsi="Arial" w:cs="Arial"/>
        </w:rPr>
      </w:pPr>
      <w:r w:rsidRPr="00AC50B6">
        <w:rPr>
          <w:rFonts w:ascii="Arial" w:eastAsia="Calibri" w:hAnsi="Arial" w:cs="Arial"/>
        </w:rPr>
        <w:lastRenderedPageBreak/>
        <w:t>2.  Forma není pro daňový subjekt stanovena, záleží na tom, v jaké formě subjekt tuto evidenci vede, jde však vždy o věrohodnost dokladu.  Daňový řád v této souvislosti v § 81 odst. 2 uvádí, že správce daně může provést nebo si vyžádat z účetních záznamů nebo jiných informací výpis nebo kopii, a to i na technických nosičích dat.</w:t>
      </w:r>
    </w:p>
    <w:p w14:paraId="6EC4CC36" w14:textId="77777777" w:rsidR="00AC50B6" w:rsidRPr="00AC50B6" w:rsidRDefault="00AC50B6" w:rsidP="00AC50B6">
      <w:pPr>
        <w:jc w:val="both"/>
        <w:rPr>
          <w:rFonts w:ascii="Arial" w:eastAsia="Calibri" w:hAnsi="Arial" w:cs="Arial"/>
        </w:rPr>
      </w:pPr>
    </w:p>
    <w:p w14:paraId="0EDB304D" w14:textId="77777777" w:rsidR="00AC50B6" w:rsidRPr="00AC50B6" w:rsidRDefault="00AC50B6" w:rsidP="00AC50B6">
      <w:pPr>
        <w:jc w:val="both"/>
        <w:rPr>
          <w:rFonts w:ascii="Calibri" w:eastAsia="Calibri" w:hAnsi="Calibri" w:cs="Times New Roman"/>
        </w:rPr>
      </w:pPr>
      <w:r w:rsidRPr="00AC50B6">
        <w:rPr>
          <w:rFonts w:ascii="Arial" w:eastAsia="Calibri" w:hAnsi="Arial" w:cs="Arial"/>
        </w:rPr>
        <w:t>3.  Primárně se jedná o lhůtu pro stanovení daně dle § 148 daňového řádu.  Ustanovení § 148 daňového řádu obsahuje obecnou právní úpravu pro lhůtu pro stanovení daně. Pokud se jedná o daň z příjmů, ustanovení § 38r zákona o daních z příjmů obsahuje k § 148 daňového řádu speciální právní úpravu lhůty pro stanovení daně v případě možnosti uplatnění daňové ztráty</w:t>
      </w:r>
      <w:r w:rsidRPr="00AC50B6">
        <w:rPr>
          <w:rFonts w:ascii="Calibri" w:eastAsia="Calibri" w:hAnsi="Calibri" w:cs="Times New Roman"/>
        </w:rPr>
        <w:t>.</w:t>
      </w:r>
    </w:p>
    <w:p w14:paraId="09D8B70B" w14:textId="77777777" w:rsidR="00AC50B6" w:rsidRPr="00AC50B6" w:rsidRDefault="00AC50B6" w:rsidP="00AC50B6">
      <w:pPr>
        <w:jc w:val="both"/>
        <w:rPr>
          <w:rFonts w:ascii="Arial" w:eastAsia="Calibri" w:hAnsi="Arial" w:cs="Arial"/>
        </w:rPr>
      </w:pPr>
      <w:r w:rsidRPr="00AC50B6">
        <w:rPr>
          <w:rFonts w:ascii="Arial" w:eastAsia="Calibri" w:hAnsi="Arial" w:cs="Arial"/>
        </w:rPr>
        <w:t xml:space="preserve">Obecně lhůty pro uschování účetních záznamů jsou stanoveny v § 31 zákona č. 563/1991 Sb., o účetnictví, ve znění pozdějších předpisů, (dále jen „zákon o účetnictví“), pokud zvláštními předpisy není stanovena delší uschovací lhůta. Použijí-li účetní jednotky účetní záznamy i pro jiný účel, než je pouze prokázání vedení účetnictví a sestavení účetní závěrky (např. daňové řízení), postupují po uplynutí dob úschovy uvedených v § 31 odst. 2 zákona o účetnictví dále tak, aby byly zajištěny požadavky vyplývající z jejich použití pro uvedené účely (§ 32 odst. 1 zákona o účetnictví. </w:t>
      </w:r>
    </w:p>
    <w:p w14:paraId="59F2D5E5" w14:textId="77777777" w:rsidR="00AC50B6" w:rsidRPr="00AC50B6" w:rsidRDefault="00AC50B6" w:rsidP="00AC50B6">
      <w:pPr>
        <w:jc w:val="both"/>
        <w:rPr>
          <w:rFonts w:ascii="Arial" w:eastAsia="Calibri" w:hAnsi="Arial" w:cs="Arial"/>
        </w:rPr>
      </w:pPr>
      <w:r w:rsidRPr="00AC50B6">
        <w:rPr>
          <w:rFonts w:ascii="Arial" w:eastAsia="Calibri" w:hAnsi="Arial" w:cs="Arial"/>
        </w:rPr>
        <w:t>Z hlediska prokázání, že daný náklad daňový subjekt uplatnil v základu daně z příjmů oprávněně, je tedy nutné, aby účetní záznamy a podklady k nim uschoval po celou dobu běhu lhůty pro stanovení daně.</w:t>
      </w:r>
    </w:p>
    <w:p w14:paraId="6A8516E1" w14:textId="0ECB94C0" w:rsidR="00AC50B6" w:rsidRDefault="00AC50B6" w:rsidP="00A247A9">
      <w:pPr>
        <w:jc w:val="both"/>
        <w:rPr>
          <w:rFonts w:ascii="Arial" w:hAnsi="Arial" w:cs="Arial"/>
        </w:rPr>
      </w:pPr>
    </w:p>
    <w:p w14:paraId="33164984" w14:textId="790F1688" w:rsidR="00AC50B6" w:rsidRDefault="00AC50B6" w:rsidP="00A247A9">
      <w:pPr>
        <w:jc w:val="both"/>
        <w:rPr>
          <w:rFonts w:ascii="Arial" w:hAnsi="Arial" w:cs="Arial"/>
        </w:rPr>
      </w:pPr>
    </w:p>
    <w:p w14:paraId="52E0477B" w14:textId="01231F11" w:rsidR="00AC50B6" w:rsidRDefault="00AC50B6" w:rsidP="00A247A9">
      <w:pPr>
        <w:jc w:val="both"/>
        <w:rPr>
          <w:rFonts w:ascii="Arial" w:hAnsi="Arial" w:cs="Arial"/>
        </w:rPr>
      </w:pPr>
    </w:p>
    <w:p w14:paraId="3B6B7970" w14:textId="77777777" w:rsidR="00AC50B6" w:rsidRDefault="00AC50B6" w:rsidP="00A247A9">
      <w:pPr>
        <w:jc w:val="both"/>
        <w:rPr>
          <w:rFonts w:ascii="Arial" w:hAnsi="Arial" w:cs="Arial"/>
        </w:rPr>
      </w:pPr>
    </w:p>
    <w:sectPr w:rsidR="00AC5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8A1AD2"/>
    <w:multiLevelType w:val="hybridMultilevel"/>
    <w:tmpl w:val="C9A34E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46CCF"/>
    <w:multiLevelType w:val="hybridMultilevel"/>
    <w:tmpl w:val="38081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382590"/>
    <w:multiLevelType w:val="multilevel"/>
    <w:tmpl w:val="5FDCEB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7F0B1D"/>
    <w:multiLevelType w:val="hybridMultilevel"/>
    <w:tmpl w:val="736A4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C374A7"/>
    <w:multiLevelType w:val="hybridMultilevel"/>
    <w:tmpl w:val="139ED68C"/>
    <w:lvl w:ilvl="0" w:tplc="94EA7B3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7786772">
    <w:abstractNumId w:val="4"/>
  </w:num>
  <w:num w:numId="2" w16cid:durableId="1010794421">
    <w:abstractNumId w:val="0"/>
  </w:num>
  <w:num w:numId="3" w16cid:durableId="891428993">
    <w:abstractNumId w:val="1"/>
  </w:num>
  <w:num w:numId="4" w16cid:durableId="1904634340">
    <w:abstractNumId w:val="2"/>
  </w:num>
  <w:num w:numId="5" w16cid:durableId="760612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A9"/>
    <w:rsid w:val="000D3895"/>
    <w:rsid w:val="0017282F"/>
    <w:rsid w:val="001E23AC"/>
    <w:rsid w:val="002668CE"/>
    <w:rsid w:val="002C1DDD"/>
    <w:rsid w:val="003F4FD5"/>
    <w:rsid w:val="004F1B9B"/>
    <w:rsid w:val="00564A37"/>
    <w:rsid w:val="00577964"/>
    <w:rsid w:val="00884203"/>
    <w:rsid w:val="008E703F"/>
    <w:rsid w:val="00A247A9"/>
    <w:rsid w:val="00A51FA2"/>
    <w:rsid w:val="00AC50B6"/>
    <w:rsid w:val="00CD4B22"/>
    <w:rsid w:val="00DE4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DC2"/>
  <w15:chartTrackingRefBased/>
  <w15:docId w15:val="{EB69115B-A406-47F9-9041-B9434C98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7A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247A9"/>
    <w:rPr>
      <w:color w:val="0563C1" w:themeColor="hyperlink"/>
      <w:u w:val="single"/>
    </w:rPr>
  </w:style>
  <w:style w:type="paragraph" w:customStyle="1" w:styleId="Default">
    <w:name w:val="Default"/>
    <w:rsid w:val="00884203"/>
    <w:pPr>
      <w:autoSpaceDE w:val="0"/>
      <w:autoSpaceDN w:val="0"/>
      <w:adjustRightInd w:val="0"/>
      <w:spacing w:after="0" w:line="240" w:lineRule="auto"/>
    </w:pPr>
    <w:rPr>
      <w:rFonts w:ascii="Garamond" w:hAnsi="Garamond" w:cs="Garamond"/>
      <w:color w:val="000000"/>
      <w:sz w:val="24"/>
      <w:szCs w:val="24"/>
    </w:rPr>
  </w:style>
  <w:style w:type="paragraph" w:styleId="Odstavecseseznamem">
    <w:name w:val="List Paragraph"/>
    <w:basedOn w:val="Normln"/>
    <w:uiPriority w:val="34"/>
    <w:qFormat/>
    <w:rsid w:val="00884203"/>
    <w:pPr>
      <w:ind w:left="720"/>
      <w:contextualSpacing/>
    </w:pPr>
  </w:style>
  <w:style w:type="table" w:styleId="Mkatabulky">
    <w:name w:val="Table Grid"/>
    <w:basedOn w:val="Normlntabulka"/>
    <w:uiPriority w:val="39"/>
    <w:rsid w:val="0088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A51FA2"/>
  </w:style>
  <w:style w:type="paragraph" w:styleId="Prosttext">
    <w:name w:val="Plain Text"/>
    <w:basedOn w:val="Normln"/>
    <w:link w:val="ProsttextChar"/>
    <w:uiPriority w:val="99"/>
    <w:semiHidden/>
    <w:unhideWhenUsed/>
    <w:rsid w:val="004F1B9B"/>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4F1B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8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591</Words>
  <Characters>3489</Characters>
  <Application>Microsoft Office Word</Application>
  <DocSecurity>0</DocSecurity>
  <Lines>29</Lines>
  <Paragraphs>8</Paragraphs>
  <ScaleCrop>false</ScaleCrop>
  <Company>GFR</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Bardonková Miroslava Mgr. (FÚ pro hlavní město Prahu)</dc:creator>
  <cp:keywords/>
  <dc:description/>
  <cp:lastModifiedBy>Bardonková Miroslava Mgr. (FÚ pro hlavní město Prahu)</cp:lastModifiedBy>
  <cp:revision>15</cp:revision>
  <dcterms:created xsi:type="dcterms:W3CDTF">2022-11-15T09:53:00Z</dcterms:created>
  <dcterms:modified xsi:type="dcterms:W3CDTF">2023-08-31T12:48:00Z</dcterms:modified>
</cp:coreProperties>
</file>