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5B39A3A0" w:rsidR="00A247A9" w:rsidRDefault="00DE4756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564E6E4A" w14:textId="77777777" w:rsidR="00DE4756" w:rsidRPr="00741CDD" w:rsidRDefault="00DE4756" w:rsidP="00DE4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</w:rPr>
      </w:pPr>
      <w:r w:rsidRPr="00741CDD">
        <w:rPr>
          <w:rFonts w:ascii="Cambria Math" w:eastAsia="CIDFont+F3" w:hAnsi="Cambria Math" w:cs="Cambria Math"/>
          <w:i/>
          <w:iCs/>
          <w:color w:val="333333"/>
        </w:rPr>
        <w:t>⦁</w:t>
      </w:r>
      <w:r w:rsidRPr="00741CDD">
        <w:rPr>
          <w:rFonts w:ascii="Arial" w:eastAsia="CIDFont+F3" w:hAnsi="Arial" w:cs="Arial"/>
          <w:i/>
          <w:iCs/>
          <w:color w:val="333333"/>
        </w:rPr>
        <w:t xml:space="preserve"> </w:t>
      </w:r>
      <w:r w:rsidRPr="00741CDD">
        <w:rPr>
          <w:rFonts w:ascii="Arial" w:hAnsi="Arial" w:cs="Arial"/>
          <w:i/>
          <w:iCs/>
          <w:color w:val="333333"/>
        </w:rPr>
        <w:t>v jakých formách a v jakých registrech Finanční úřad pro hlavní město Prahu shromažďuje,</w:t>
      </w:r>
      <w:r>
        <w:rPr>
          <w:rFonts w:ascii="Arial" w:hAnsi="Arial" w:cs="Arial"/>
          <w:i/>
          <w:iCs/>
          <w:color w:val="333333"/>
        </w:rPr>
        <w:br/>
        <w:t xml:space="preserve">  </w:t>
      </w:r>
      <w:r w:rsidRPr="00741CDD">
        <w:rPr>
          <w:rFonts w:ascii="Arial" w:hAnsi="Arial" w:cs="Arial"/>
          <w:i/>
          <w:iCs/>
          <w:color w:val="333333"/>
        </w:rPr>
        <w:t>zpracovává a využívá údaje o majetku daňových poplatníků;</w:t>
      </w:r>
    </w:p>
    <w:p w14:paraId="19E9E261" w14:textId="77777777" w:rsidR="00DE4756" w:rsidRDefault="00DE4756" w:rsidP="00DE4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</w:rPr>
      </w:pPr>
      <w:r w:rsidRPr="00741CDD">
        <w:rPr>
          <w:rFonts w:ascii="Cambria Math" w:eastAsia="CIDFont+F3" w:hAnsi="Cambria Math" w:cs="Cambria Math"/>
          <w:i/>
          <w:iCs/>
          <w:color w:val="333333"/>
        </w:rPr>
        <w:t>⦁</w:t>
      </w:r>
      <w:r w:rsidRPr="00741CDD">
        <w:rPr>
          <w:rFonts w:ascii="Arial" w:eastAsia="CIDFont+F3" w:hAnsi="Arial" w:cs="Arial"/>
          <w:i/>
          <w:iCs/>
          <w:color w:val="333333"/>
        </w:rPr>
        <w:t xml:space="preserve"> </w:t>
      </w:r>
      <w:r w:rsidRPr="00741CDD">
        <w:rPr>
          <w:rFonts w:ascii="Arial" w:hAnsi="Arial" w:cs="Arial"/>
          <w:i/>
          <w:iCs/>
          <w:color w:val="333333"/>
        </w:rPr>
        <w:t>kdo jiný (kromě exekutorů podle ustanovení § 33 zákona č. 120/2001 Sb., o soudních</w:t>
      </w:r>
    </w:p>
    <w:p w14:paraId="3C9E6061" w14:textId="77777777" w:rsidR="00DE4756" w:rsidRPr="00741CDD" w:rsidRDefault="00DE4756" w:rsidP="00DE4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</w:rPr>
      </w:pPr>
      <w:r w:rsidRPr="00741CDD">
        <w:rPr>
          <w:rFonts w:ascii="Arial" w:hAnsi="Arial" w:cs="Arial"/>
          <w:i/>
          <w:iCs/>
          <w:color w:val="333333"/>
        </w:rPr>
        <w:t xml:space="preserve"> </w:t>
      </w:r>
      <w:r>
        <w:rPr>
          <w:rFonts w:ascii="Arial" w:hAnsi="Arial" w:cs="Arial"/>
          <w:i/>
          <w:iCs/>
          <w:color w:val="333333"/>
        </w:rPr>
        <w:t xml:space="preserve"> </w:t>
      </w:r>
      <w:r w:rsidRPr="00741CDD">
        <w:rPr>
          <w:rFonts w:ascii="Arial" w:hAnsi="Arial" w:cs="Arial"/>
          <w:i/>
          <w:iCs/>
          <w:color w:val="333333"/>
        </w:rPr>
        <w:t>exekutorech</w:t>
      </w:r>
      <w:r>
        <w:rPr>
          <w:rFonts w:ascii="Arial" w:hAnsi="Arial" w:cs="Arial"/>
          <w:i/>
          <w:iCs/>
          <w:color w:val="333333"/>
        </w:rPr>
        <w:t xml:space="preserve"> </w:t>
      </w:r>
      <w:r w:rsidRPr="00741CDD">
        <w:rPr>
          <w:rFonts w:ascii="Arial" w:hAnsi="Arial" w:cs="Arial"/>
          <w:i/>
          <w:iCs/>
          <w:color w:val="333333"/>
        </w:rPr>
        <w:t xml:space="preserve">a exekuční činnosti, ve znění pozdějších předpisů) má přístup k těmto </w:t>
      </w:r>
      <w:r>
        <w:rPr>
          <w:rFonts w:ascii="Arial" w:hAnsi="Arial" w:cs="Arial"/>
          <w:i/>
          <w:iCs/>
          <w:color w:val="333333"/>
        </w:rPr>
        <w:br/>
        <w:t xml:space="preserve">  </w:t>
      </w:r>
      <w:r w:rsidRPr="00741CDD">
        <w:rPr>
          <w:rFonts w:ascii="Arial" w:hAnsi="Arial" w:cs="Arial"/>
          <w:i/>
          <w:iCs/>
          <w:color w:val="333333"/>
        </w:rPr>
        <w:t>registrům a databázi;</w:t>
      </w:r>
    </w:p>
    <w:p w14:paraId="22E44B79" w14:textId="77777777" w:rsidR="00DE4756" w:rsidRDefault="00DE4756" w:rsidP="00DE4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</w:rPr>
      </w:pPr>
      <w:r w:rsidRPr="00741CDD">
        <w:rPr>
          <w:rFonts w:ascii="Cambria Math" w:eastAsia="CIDFont+F3" w:hAnsi="Cambria Math" w:cs="Cambria Math"/>
          <w:i/>
          <w:iCs/>
          <w:color w:val="333333"/>
        </w:rPr>
        <w:t>⦁</w:t>
      </w:r>
      <w:r w:rsidRPr="00741CDD">
        <w:rPr>
          <w:rFonts w:ascii="Arial" w:eastAsia="CIDFont+F3" w:hAnsi="Arial" w:cs="Arial"/>
          <w:i/>
          <w:iCs/>
          <w:color w:val="333333"/>
        </w:rPr>
        <w:t xml:space="preserve"> </w:t>
      </w:r>
      <w:r w:rsidRPr="00741CDD">
        <w:rPr>
          <w:rFonts w:ascii="Arial" w:hAnsi="Arial" w:cs="Arial"/>
          <w:i/>
          <w:iCs/>
          <w:color w:val="333333"/>
        </w:rPr>
        <w:t xml:space="preserve">jak v praxi exekutoři (a další, pokud </w:t>
      </w:r>
      <w:proofErr w:type="gramStart"/>
      <w:r w:rsidRPr="00741CDD">
        <w:rPr>
          <w:rFonts w:ascii="Arial" w:hAnsi="Arial" w:cs="Arial"/>
          <w:i/>
          <w:iCs/>
          <w:color w:val="333333"/>
        </w:rPr>
        <w:t>existují - viz</w:t>
      </w:r>
      <w:proofErr w:type="gramEnd"/>
      <w:r w:rsidRPr="00741CDD">
        <w:rPr>
          <w:rFonts w:ascii="Arial" w:hAnsi="Arial" w:cs="Arial"/>
          <w:i/>
          <w:iCs/>
          <w:color w:val="333333"/>
        </w:rPr>
        <w:t xml:space="preserve"> výše) získávají přístup k těmto rejstříkům a</w:t>
      </w:r>
    </w:p>
    <w:p w14:paraId="2B301974" w14:textId="77777777" w:rsidR="00DE4756" w:rsidRDefault="00DE4756" w:rsidP="00DE4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  </w:t>
      </w:r>
      <w:r w:rsidRPr="00741CDD">
        <w:rPr>
          <w:rFonts w:ascii="Arial" w:hAnsi="Arial" w:cs="Arial"/>
          <w:i/>
          <w:iCs/>
          <w:color w:val="333333"/>
        </w:rPr>
        <w:t>databázím: a) vyžádáním si uvedených informací od finančního úřadu nebo b) přístupem do</w:t>
      </w:r>
      <w:r>
        <w:rPr>
          <w:rFonts w:ascii="Arial" w:hAnsi="Arial" w:cs="Arial"/>
          <w:i/>
          <w:iCs/>
          <w:color w:val="333333"/>
        </w:rPr>
        <w:br/>
        <w:t xml:space="preserve">  </w:t>
      </w:r>
      <w:r w:rsidRPr="00741CDD">
        <w:rPr>
          <w:rFonts w:ascii="Arial" w:hAnsi="Arial" w:cs="Arial"/>
          <w:i/>
          <w:iCs/>
          <w:color w:val="333333"/>
        </w:rPr>
        <w:t>rejstříků a databází se svolením finančního úřadu za účelem vyhledání jakýchkoli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14:paraId="6F4D4F54" w14:textId="77777777" w:rsidR="00DE4756" w:rsidRDefault="00DE4756" w:rsidP="00DE47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333333"/>
          <w:sz w:val="24"/>
          <w:szCs w:val="24"/>
        </w:rPr>
      </w:pPr>
      <w:r>
        <w:rPr>
          <w:rFonts w:ascii="Arial" w:hAnsi="Arial" w:cs="Arial"/>
          <w:i/>
          <w:iCs/>
          <w:color w:val="333333"/>
        </w:rPr>
        <w:t xml:space="preserve">  </w:t>
      </w:r>
      <w:r w:rsidRPr="00741CDD">
        <w:rPr>
          <w:rFonts w:ascii="Arial" w:hAnsi="Arial" w:cs="Arial"/>
          <w:i/>
          <w:iCs/>
          <w:color w:val="333333"/>
        </w:rPr>
        <w:t>informací.</w:t>
      </w:r>
      <w:r>
        <w:rPr>
          <w:rFonts w:ascii="CIDFont+F2" w:hAnsi="CIDFont+F2" w:cs="CIDFont+F2"/>
          <w:color w:val="333333"/>
          <w:sz w:val="24"/>
          <w:szCs w:val="24"/>
        </w:rPr>
        <w:t>“</w:t>
      </w:r>
    </w:p>
    <w:p w14:paraId="10250FB6" w14:textId="77777777" w:rsidR="0017282F" w:rsidRPr="0017282F" w:rsidRDefault="0017282F" w:rsidP="00577964">
      <w:pPr>
        <w:jc w:val="both"/>
        <w:rPr>
          <w:rFonts w:ascii="Arial" w:hAnsi="Arial" w:cs="Arial"/>
          <w:b/>
          <w:bCs/>
        </w:rPr>
      </w:pPr>
    </w:p>
    <w:p w14:paraId="49164DF3" w14:textId="1BAE7E04" w:rsidR="00577964" w:rsidRPr="0017282F" w:rsidRDefault="00577964" w:rsidP="00577964">
      <w:pPr>
        <w:jc w:val="both"/>
        <w:rPr>
          <w:rFonts w:ascii="Arial" w:hAnsi="Arial" w:cs="Arial"/>
          <w:b/>
          <w:bCs/>
        </w:rPr>
      </w:pPr>
      <w:r w:rsidRPr="0017282F">
        <w:rPr>
          <w:rFonts w:ascii="Arial" w:hAnsi="Arial" w:cs="Arial"/>
          <w:b/>
          <w:bCs/>
        </w:rPr>
        <w:t xml:space="preserve">K žádosti bylo sděleno následující: </w:t>
      </w:r>
    </w:p>
    <w:p w14:paraId="2D72B4D0" w14:textId="77777777" w:rsidR="00DE4756" w:rsidRDefault="00DE4756" w:rsidP="00DE475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Veškerá data v daňovém řízení jsou zpracovávána a ukládána v elektronické podobě v Automatizovaném daňovém systému, žádné další registry finanční úřad nevede. Automatizovaný daňový systém není přístupný subjektům </w:t>
      </w:r>
      <w:proofErr w:type="gramStart"/>
      <w:r>
        <w:rPr>
          <w:rFonts w:ascii="Arial" w:hAnsi="Arial" w:cs="Arial"/>
        </w:rPr>
        <w:t>mimo  správce</w:t>
      </w:r>
      <w:proofErr w:type="gramEnd"/>
      <w:r>
        <w:rPr>
          <w:rFonts w:ascii="Arial" w:hAnsi="Arial" w:cs="Arial"/>
        </w:rPr>
        <w:t xml:space="preserve"> daně.  </w:t>
      </w:r>
    </w:p>
    <w:p w14:paraId="248F5207" w14:textId="77777777" w:rsidR="00DE4756" w:rsidRDefault="00DE4756" w:rsidP="00DE475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294A8E71" w14:textId="77777777" w:rsidR="00DE4756" w:rsidRDefault="00DE4756" w:rsidP="00DE475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Úřední osoby a osoby zúčastněné na správě daní jsou vázány povinností mlčenlivosti, o tom, co se při správě daní dozvěděly o poměrech jiných osob, kterou jim ukládá § 52 a další zákona č. 280/2009 Sb. daňový řád, ve znění pozdějších předpisů.</w:t>
      </w:r>
      <w:r w:rsidRPr="004C3A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Výjimky z uložené povinnosti mlčelivosti stanovuje § 53 zákona č. 280/2009 Sb., daňový řád, ve znění pozdějších předpisů.  </w:t>
      </w:r>
    </w:p>
    <w:p w14:paraId="2C474BDC" w14:textId="77777777" w:rsidR="00DE4756" w:rsidRDefault="00DE4756" w:rsidP="00DE475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6360359" w14:textId="77777777" w:rsidR="00DE4756" w:rsidRDefault="00DE4756" w:rsidP="00DE475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Soudní exekutoři zjišťují údaje o majetku povinného subjektu v souladu s § 33 zákona č. 120/2001 Sb., o soudních exekutorech a exekuční činnosti, ve znění pozdějších předpisů. Data jsou finančním úřadem poskytnuta sdělením na základě jednotlivé žádosti. Žádné databáze s přístupy pro soudní exekutory nebo jiné osoby, finanční úřad nevede. </w:t>
      </w:r>
    </w:p>
    <w:p w14:paraId="212B51AA" w14:textId="77777777" w:rsidR="00DE4756" w:rsidRDefault="00DE4756" w:rsidP="00DE475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444EDAC" w14:textId="4E7086C4" w:rsidR="000D3895" w:rsidRDefault="000D3895" w:rsidP="008E703F">
      <w:pPr>
        <w:jc w:val="both"/>
        <w:rPr>
          <w:rFonts w:ascii="Arial" w:hAnsi="Arial" w:cs="Arial"/>
        </w:rPr>
      </w:pPr>
    </w:p>
    <w:p w14:paraId="270F6E18" w14:textId="77777777" w:rsidR="000D3895" w:rsidRDefault="000D3895" w:rsidP="00A247A9">
      <w:pPr>
        <w:jc w:val="both"/>
        <w:rPr>
          <w:rFonts w:ascii="Arial" w:hAnsi="Arial" w:cs="Arial"/>
        </w:rPr>
      </w:pP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590"/>
    <w:multiLevelType w:val="multilevel"/>
    <w:tmpl w:val="5FDCEB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F0B1D"/>
    <w:multiLevelType w:val="hybridMultilevel"/>
    <w:tmpl w:val="736A4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4"/>
  </w:num>
  <w:num w:numId="2" w16cid:durableId="1010794421">
    <w:abstractNumId w:val="0"/>
  </w:num>
  <w:num w:numId="3" w16cid:durableId="891428993">
    <w:abstractNumId w:val="1"/>
  </w:num>
  <w:num w:numId="4" w16cid:durableId="1904634340">
    <w:abstractNumId w:val="2"/>
  </w:num>
  <w:num w:numId="5" w16cid:durableId="76061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7282F"/>
    <w:rsid w:val="001E23AC"/>
    <w:rsid w:val="002668CE"/>
    <w:rsid w:val="003F4FD5"/>
    <w:rsid w:val="00564A37"/>
    <w:rsid w:val="00577964"/>
    <w:rsid w:val="00884203"/>
    <w:rsid w:val="008E703F"/>
    <w:rsid w:val="00A247A9"/>
    <w:rsid w:val="00A51FA2"/>
    <w:rsid w:val="00D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3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A5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1710</Characters>
  <Application>Microsoft Office Word</Application>
  <DocSecurity>0</DocSecurity>
  <Lines>14</Lines>
  <Paragraphs>3</Paragraphs>
  <ScaleCrop>false</ScaleCrop>
  <Company>GFR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11</cp:revision>
  <dcterms:created xsi:type="dcterms:W3CDTF">2022-11-15T09:53:00Z</dcterms:created>
  <dcterms:modified xsi:type="dcterms:W3CDTF">2023-06-16T09:37:00Z</dcterms:modified>
</cp:coreProperties>
</file>