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6A9210E2" w:rsidR="00A247A9" w:rsidRDefault="00A51FA2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385FECB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20993686" w14:textId="4BB72B8D" w:rsidR="00A51FA2" w:rsidRPr="002D437D" w:rsidRDefault="00A51FA2" w:rsidP="00A51FA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I</w:t>
      </w:r>
      <w:r w:rsidRPr="002D437D">
        <w:rPr>
          <w:rFonts w:asciiTheme="minorHAnsi" w:hAnsiTheme="minorHAnsi" w:cstheme="minorHAnsi"/>
          <w:i/>
          <w:iCs/>
          <w:sz w:val="22"/>
          <w:szCs w:val="22"/>
          <w:u w:val="single"/>
        </w:rPr>
        <w:t>nformace o:</w:t>
      </w:r>
    </w:p>
    <w:p w14:paraId="30CD66AE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1. počtu podaných podnětů k zahájení trestního řízení stran správce daně za období 2020 – 2022 na </w:t>
      </w:r>
      <w:r w:rsidRPr="002D437D">
        <w:rPr>
          <w:rFonts w:asciiTheme="minorHAnsi" w:hAnsiTheme="minorHAnsi" w:cstheme="minorHAnsi"/>
          <w:i/>
          <w:iCs/>
          <w:sz w:val="22"/>
          <w:szCs w:val="22"/>
        </w:rPr>
        <w:br/>
        <w:t>spravovaných daních,</w:t>
      </w:r>
    </w:p>
    <w:p w14:paraId="52E8FD4C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2. počtu podaných podnětů k zahájení trestního řízení stran správce daně za období 2020 – 2022 ve věci neoprávněně nárokovaného kompenzačního bonusu, </w:t>
      </w:r>
    </w:p>
    <w:p w14:paraId="4F4A2F84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3. </w:t>
      </w:r>
      <w:bookmarkStart w:id="0" w:name="_Hlk134171187"/>
      <w:r w:rsidRPr="002D437D">
        <w:rPr>
          <w:rFonts w:asciiTheme="minorHAnsi" w:hAnsiTheme="minorHAnsi" w:cstheme="minorHAnsi"/>
          <w:i/>
          <w:iCs/>
          <w:sz w:val="22"/>
          <w:szCs w:val="22"/>
        </w:rPr>
        <w:t>počtu uplatněných adhezních nároků a v jaké celkové výši za požadovaná období týkající se spravovaných daní</w:t>
      </w:r>
      <w:bookmarkEnd w:id="0"/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</w:p>
    <w:p w14:paraId="6C0DABCC" w14:textId="77777777" w:rsidR="00A51FA2" w:rsidRPr="002D437D" w:rsidRDefault="00A51FA2" w:rsidP="00A51FA2">
      <w:pPr>
        <w:pStyle w:val="Default"/>
        <w:ind w:left="405" w:hanging="4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134171509"/>
      <w:r w:rsidRPr="002D437D">
        <w:rPr>
          <w:rFonts w:asciiTheme="minorHAnsi" w:hAnsiTheme="minorHAnsi" w:cstheme="minorHAnsi"/>
          <w:i/>
          <w:iCs/>
          <w:sz w:val="22"/>
          <w:szCs w:val="22"/>
        </w:rPr>
        <w:t>4. počtu uplatněných adhezních nároků a v jaké výši vztahující se ke kompenzačního bonusu,</w:t>
      </w:r>
    </w:p>
    <w:bookmarkEnd w:id="1"/>
    <w:p w14:paraId="6384B0EF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>5. počtu přiznaných adhezních nároků, tj. přiznání nároku na náhradu škody ve smyslu ust. § 228 zákona č. 141/1961 Sb., trestní řád a v jaké výši za požadovaná období,</w:t>
      </w:r>
    </w:p>
    <w:p w14:paraId="7484BC87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 6. v jakém rozsahu byl správce daně ve sledovaných obdobích odkázán na uplatnění svého nároku zcela nebo jen v části v občanskoprávním řízení. </w:t>
      </w:r>
    </w:p>
    <w:p w14:paraId="234182FA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7. informaci týkající se počtu přistoupení správce daně k uzavření dohody o vině a trestu či jiné formě odklonu za vedená období. </w:t>
      </w:r>
    </w:p>
    <w:p w14:paraId="234A7515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 8. </w:t>
      </w:r>
      <w:bookmarkStart w:id="2" w:name="_Hlk134171709"/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zda je vedena centralizovaná evidence informací týkajících se zahájení, průběhu a ukončení trestního řízení na úrovni krajské, tj. řídící nebo jen na úrovni územních pracovišť. </w:t>
      </w:r>
    </w:p>
    <w:bookmarkEnd w:id="2"/>
    <w:p w14:paraId="7A7A6C4F" w14:textId="77777777" w:rsidR="00A51FA2" w:rsidRDefault="00A51FA2" w:rsidP="00A51FA2">
      <w:pPr>
        <w:pStyle w:val="Default"/>
        <w:ind w:left="284" w:hanging="284"/>
        <w:jc w:val="both"/>
        <w:rPr>
          <w:i/>
          <w:iCs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 9. </w:t>
      </w:r>
      <w:bookmarkStart w:id="3" w:name="_Hlk134171811"/>
      <w:r w:rsidRPr="002D437D">
        <w:rPr>
          <w:rFonts w:asciiTheme="minorHAnsi" w:hAnsiTheme="minorHAnsi" w:cstheme="minorHAnsi"/>
          <w:i/>
          <w:iCs/>
          <w:sz w:val="22"/>
          <w:szCs w:val="22"/>
        </w:rPr>
        <w:t>zda výkon rozhodnuti týkající se přiznání náhrady škody ve smyslu ust. § 228 trestního řádu je stran správce daně uplatňován prostřednictvím exekučního řízení soudním exekutorem nebo prostřednictvím soudního výkonu rozhodnutí</w:t>
      </w:r>
      <w:bookmarkEnd w:id="3"/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.   </w:t>
      </w:r>
      <w:r w:rsidRPr="002D437D">
        <w:rPr>
          <w:i/>
          <w:iCs/>
        </w:rPr>
        <w:t xml:space="preserve"> </w:t>
      </w:r>
    </w:p>
    <w:p w14:paraId="459A100E" w14:textId="77777777" w:rsidR="00A51FA2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>10. Závěrem se dotazuji, zda v případě přiznaných adhezních nároků ve smyslu ust. § 229 trestního</w:t>
      </w:r>
    </w:p>
    <w:p w14:paraId="4266BE94" w14:textId="77777777" w:rsidR="00A51FA2" w:rsidRPr="002D437D" w:rsidRDefault="00A51FA2" w:rsidP="00A51FA2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D437D">
        <w:rPr>
          <w:rFonts w:asciiTheme="minorHAnsi" w:hAnsiTheme="minorHAnsi" w:cstheme="minorHAnsi"/>
          <w:i/>
          <w:iCs/>
          <w:sz w:val="22"/>
          <w:szCs w:val="22"/>
        </w:rPr>
        <w:t xml:space="preserve">řádu správce daně využívá podání návrhu na náhradu škody v rámci civilního řízení, pokud ano, bylo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  <w:t xml:space="preserve">  </w:t>
      </w:r>
      <w:r w:rsidRPr="002D437D">
        <w:rPr>
          <w:rFonts w:asciiTheme="minorHAnsi" w:hAnsiTheme="minorHAnsi" w:cstheme="minorHAnsi"/>
          <w:i/>
          <w:iCs/>
          <w:sz w:val="22"/>
          <w:szCs w:val="22"/>
        </w:rPr>
        <w:t>o uplatněném nároku rozhodnuto uspokojivě? Pokud ne, co bylo stěžejním důvodem?</w:t>
      </w:r>
      <w:r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5308FD39" w14:textId="77777777" w:rsidR="00A51FA2" w:rsidRDefault="00A51FA2" w:rsidP="00A247A9">
      <w:pPr>
        <w:jc w:val="both"/>
        <w:rPr>
          <w:rFonts w:ascii="Arial" w:hAnsi="Arial" w:cs="Arial"/>
        </w:rPr>
      </w:pPr>
    </w:p>
    <w:p w14:paraId="49164DF3" w14:textId="18ABF0C4" w:rsidR="00577964" w:rsidRDefault="00577964" w:rsidP="005779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4952DF7A" w14:textId="77777777" w:rsidR="00A51FA2" w:rsidRPr="003B0FAB" w:rsidRDefault="00A51FA2" w:rsidP="00A51FA2">
      <w:pPr>
        <w:rPr>
          <w:rFonts w:ascii="Arial" w:hAnsi="Arial" w:cs="Arial"/>
        </w:rPr>
      </w:pPr>
      <w:r w:rsidRPr="003B0FAB">
        <w:rPr>
          <w:rFonts w:ascii="Arial" w:hAnsi="Arial" w:cs="Arial"/>
        </w:rPr>
        <w:t xml:space="preserve">1. </w:t>
      </w:r>
      <w:r w:rsidRPr="00A51FA2">
        <w:rPr>
          <w:rFonts w:ascii="Arial" w:hAnsi="Arial" w:cs="Arial"/>
          <w:i/>
          <w:iCs/>
        </w:rPr>
        <w:t xml:space="preserve">Informace  o  počtu podaných podnětů k zahájení trestního řízení stran správce daně za </w:t>
      </w:r>
      <w:r w:rsidRPr="00A51FA2">
        <w:rPr>
          <w:rFonts w:ascii="Arial" w:hAnsi="Arial" w:cs="Arial"/>
          <w:i/>
          <w:iCs/>
        </w:rPr>
        <w:br/>
        <w:t xml:space="preserve">    období 2020 – 2022 na  spravovaných daních.</w:t>
      </w:r>
      <w:r w:rsidRPr="003B0FAB">
        <w:rPr>
          <w:rFonts w:ascii="Arial" w:hAnsi="Arial" w:cs="Arial"/>
        </w:rPr>
        <w:t xml:space="preserve"> </w:t>
      </w:r>
      <w:r w:rsidRPr="003B0FAB">
        <w:rPr>
          <w:rFonts w:ascii="Arial" w:hAnsi="Arial" w:cs="Arial"/>
        </w:rPr>
        <w:br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557"/>
        <w:gridCol w:w="2971"/>
      </w:tblGrid>
      <w:tr w:rsidR="00A51FA2" w14:paraId="4F350C09" w14:textId="77777777" w:rsidTr="00064DF2">
        <w:trPr>
          <w:trHeight w:hRule="exact" w:val="284"/>
        </w:trPr>
        <w:tc>
          <w:tcPr>
            <w:tcW w:w="1271" w:type="dxa"/>
          </w:tcPr>
          <w:p w14:paraId="0B543665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2557" w:type="dxa"/>
          </w:tcPr>
          <w:p w14:paraId="38B789D2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celkem</w:t>
            </w:r>
          </w:p>
        </w:tc>
        <w:tc>
          <w:tcPr>
            <w:tcW w:w="2971" w:type="dxa"/>
          </w:tcPr>
          <w:p w14:paraId="742F21EA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celkem - škoda v mil. Kč</w:t>
            </w:r>
          </w:p>
        </w:tc>
      </w:tr>
      <w:tr w:rsidR="00A51FA2" w14:paraId="5B7CDD7D" w14:textId="77777777" w:rsidTr="00064DF2">
        <w:trPr>
          <w:trHeight w:hRule="exact" w:val="284"/>
        </w:trPr>
        <w:tc>
          <w:tcPr>
            <w:tcW w:w="1271" w:type="dxa"/>
          </w:tcPr>
          <w:p w14:paraId="411BA331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557" w:type="dxa"/>
          </w:tcPr>
          <w:p w14:paraId="5C50542F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2971" w:type="dxa"/>
          </w:tcPr>
          <w:p w14:paraId="10BA708F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1131</w:t>
            </w:r>
          </w:p>
        </w:tc>
      </w:tr>
      <w:tr w:rsidR="00A51FA2" w14:paraId="50C59618" w14:textId="77777777" w:rsidTr="00064DF2">
        <w:trPr>
          <w:trHeight w:hRule="exact" w:val="284"/>
        </w:trPr>
        <w:tc>
          <w:tcPr>
            <w:tcW w:w="1271" w:type="dxa"/>
          </w:tcPr>
          <w:p w14:paraId="6049DF72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2557" w:type="dxa"/>
          </w:tcPr>
          <w:p w14:paraId="0D0E0CDB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</w:t>
            </w:r>
          </w:p>
        </w:tc>
        <w:tc>
          <w:tcPr>
            <w:tcW w:w="2971" w:type="dxa"/>
          </w:tcPr>
          <w:p w14:paraId="6F0FEB5F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827,9</w:t>
            </w:r>
          </w:p>
        </w:tc>
      </w:tr>
      <w:tr w:rsidR="00A51FA2" w14:paraId="1C8FF76E" w14:textId="77777777" w:rsidTr="00064DF2">
        <w:trPr>
          <w:trHeight w:hRule="exact" w:val="284"/>
        </w:trPr>
        <w:tc>
          <w:tcPr>
            <w:tcW w:w="1271" w:type="dxa"/>
          </w:tcPr>
          <w:p w14:paraId="471BF6DA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57" w:type="dxa"/>
          </w:tcPr>
          <w:p w14:paraId="16D9E4C3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</w:t>
            </w:r>
          </w:p>
        </w:tc>
        <w:tc>
          <w:tcPr>
            <w:tcW w:w="2971" w:type="dxa"/>
          </w:tcPr>
          <w:p w14:paraId="4029BEF8" w14:textId="77777777" w:rsidR="00A51FA2" w:rsidRDefault="00A51FA2" w:rsidP="00064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817,3</w:t>
            </w:r>
          </w:p>
        </w:tc>
      </w:tr>
    </w:tbl>
    <w:p w14:paraId="5A13E770" w14:textId="77777777" w:rsidR="00A51FA2" w:rsidRDefault="00A51FA2" w:rsidP="00A51FA2">
      <w:pPr>
        <w:rPr>
          <w:rFonts w:ascii="Arial" w:hAnsi="Arial" w:cs="Arial"/>
        </w:rPr>
      </w:pPr>
    </w:p>
    <w:p w14:paraId="48A2A188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Fonts w:ascii="Arial" w:hAnsi="Arial" w:cs="Arial"/>
          <w:sz w:val="22"/>
          <w:szCs w:val="22"/>
        </w:rPr>
        <w:lastRenderedPageBreak/>
        <w:t>2</w:t>
      </w:r>
      <w:r w:rsidRPr="00A51FA2">
        <w:rPr>
          <w:rFonts w:ascii="Arial" w:hAnsi="Arial" w:cs="Arial"/>
          <w:i/>
          <w:iCs/>
          <w:sz w:val="22"/>
          <w:szCs w:val="22"/>
        </w:rPr>
        <w:t xml:space="preserve">. Informace o počtu podaných podnětů k zahájení trestního řízení stran správce daně za období 2020 – 2022 ve věci neoprávněně nárokovaného kompenzačního bonusu. </w:t>
      </w:r>
    </w:p>
    <w:p w14:paraId="221BC330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1BC7AE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A51FA2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557"/>
        <w:gridCol w:w="2971"/>
      </w:tblGrid>
      <w:tr w:rsidR="00A51FA2" w:rsidRPr="00A51FA2" w14:paraId="5077F3AB" w14:textId="77777777" w:rsidTr="00064DF2">
        <w:trPr>
          <w:trHeight w:hRule="exact" w:val="284"/>
        </w:trPr>
        <w:tc>
          <w:tcPr>
            <w:tcW w:w="1271" w:type="dxa"/>
          </w:tcPr>
          <w:p w14:paraId="2AC81D61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ROK</w:t>
            </w:r>
          </w:p>
        </w:tc>
        <w:tc>
          <w:tcPr>
            <w:tcW w:w="2557" w:type="dxa"/>
          </w:tcPr>
          <w:p w14:paraId="5A1BCA6F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TO KB (§ 240, § 209)</w:t>
            </w:r>
          </w:p>
        </w:tc>
        <w:tc>
          <w:tcPr>
            <w:tcW w:w="2971" w:type="dxa"/>
          </w:tcPr>
          <w:p w14:paraId="7731E700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TO KB škoda v mil. Kč</w:t>
            </w:r>
          </w:p>
        </w:tc>
      </w:tr>
      <w:tr w:rsidR="00A51FA2" w:rsidRPr="00A51FA2" w14:paraId="5F5C50D9" w14:textId="77777777" w:rsidTr="00064DF2">
        <w:trPr>
          <w:trHeight w:hRule="exact" w:val="284"/>
        </w:trPr>
        <w:tc>
          <w:tcPr>
            <w:tcW w:w="1271" w:type="dxa"/>
          </w:tcPr>
          <w:p w14:paraId="24CBCCF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2020</w:t>
            </w:r>
          </w:p>
        </w:tc>
        <w:tc>
          <w:tcPr>
            <w:tcW w:w="2557" w:type="dxa"/>
          </w:tcPr>
          <w:p w14:paraId="39825A59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62</w:t>
            </w:r>
          </w:p>
        </w:tc>
        <w:tc>
          <w:tcPr>
            <w:tcW w:w="2971" w:type="dxa"/>
          </w:tcPr>
          <w:p w14:paraId="58D0DA87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3,4</w:t>
            </w:r>
          </w:p>
        </w:tc>
      </w:tr>
      <w:tr w:rsidR="00A51FA2" w:rsidRPr="00A51FA2" w14:paraId="0A04BF1A" w14:textId="77777777" w:rsidTr="00064DF2">
        <w:trPr>
          <w:trHeight w:hRule="exact" w:val="284"/>
        </w:trPr>
        <w:tc>
          <w:tcPr>
            <w:tcW w:w="1271" w:type="dxa"/>
          </w:tcPr>
          <w:p w14:paraId="73966C92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2021</w:t>
            </w:r>
          </w:p>
        </w:tc>
        <w:tc>
          <w:tcPr>
            <w:tcW w:w="2557" w:type="dxa"/>
          </w:tcPr>
          <w:p w14:paraId="6CD011C6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23</w:t>
            </w:r>
          </w:p>
        </w:tc>
        <w:tc>
          <w:tcPr>
            <w:tcW w:w="2971" w:type="dxa"/>
          </w:tcPr>
          <w:p w14:paraId="0546D92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1,2</w:t>
            </w:r>
          </w:p>
        </w:tc>
      </w:tr>
      <w:tr w:rsidR="00A51FA2" w:rsidRPr="00A51FA2" w14:paraId="0527A8BA" w14:textId="77777777" w:rsidTr="00064DF2">
        <w:trPr>
          <w:trHeight w:hRule="exact" w:val="284"/>
        </w:trPr>
        <w:tc>
          <w:tcPr>
            <w:tcW w:w="1271" w:type="dxa"/>
          </w:tcPr>
          <w:p w14:paraId="73240270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2022</w:t>
            </w:r>
          </w:p>
        </w:tc>
        <w:tc>
          <w:tcPr>
            <w:tcW w:w="2557" w:type="dxa"/>
          </w:tcPr>
          <w:p w14:paraId="477E7328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8</w:t>
            </w:r>
          </w:p>
        </w:tc>
        <w:tc>
          <w:tcPr>
            <w:tcW w:w="2971" w:type="dxa"/>
          </w:tcPr>
          <w:p w14:paraId="591491BB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1,8</w:t>
            </w:r>
          </w:p>
        </w:tc>
      </w:tr>
    </w:tbl>
    <w:p w14:paraId="5D80895D" w14:textId="77777777" w:rsidR="00A51FA2" w:rsidRPr="00A51FA2" w:rsidRDefault="00A51FA2" w:rsidP="00A51FA2">
      <w:pPr>
        <w:pStyle w:val="Odstavecseseznamem"/>
        <w:shd w:val="clear" w:color="auto" w:fill="FFFFFF"/>
        <w:spacing w:after="0" w:line="240" w:lineRule="auto"/>
        <w:ind w:left="0"/>
        <w:rPr>
          <w:rFonts w:ascii="Arial" w:hAnsi="Arial" w:cs="Arial"/>
        </w:rPr>
      </w:pPr>
    </w:p>
    <w:p w14:paraId="721511FA" w14:textId="77777777" w:rsidR="00A51FA2" w:rsidRDefault="00A51FA2" w:rsidP="00A51FA2">
      <w:pPr>
        <w:jc w:val="both"/>
        <w:rPr>
          <w:rStyle w:val="platne1"/>
          <w:rFonts w:ascii="Arial" w:hAnsi="Arial" w:cs="Arial"/>
        </w:rPr>
      </w:pPr>
    </w:p>
    <w:p w14:paraId="73508719" w14:textId="21E89126" w:rsidR="00A51FA2" w:rsidRPr="00A51FA2" w:rsidRDefault="00A51FA2" w:rsidP="00A51FA2">
      <w:pPr>
        <w:jc w:val="both"/>
        <w:rPr>
          <w:rStyle w:val="platne1"/>
          <w:rFonts w:ascii="Arial" w:hAnsi="Arial" w:cs="Arial"/>
          <w:i/>
          <w:iCs/>
        </w:rPr>
      </w:pPr>
      <w:r w:rsidRPr="00A51FA2">
        <w:rPr>
          <w:rStyle w:val="platne1"/>
          <w:rFonts w:ascii="Arial" w:hAnsi="Arial" w:cs="Arial"/>
        </w:rPr>
        <w:t xml:space="preserve">3. </w:t>
      </w:r>
      <w:r w:rsidRPr="00A51FA2">
        <w:rPr>
          <w:rStyle w:val="platne1"/>
          <w:rFonts w:ascii="Arial" w:hAnsi="Arial" w:cs="Arial"/>
          <w:i/>
          <w:iCs/>
        </w:rPr>
        <w:t xml:space="preserve">Informace o </w:t>
      </w:r>
      <w:r w:rsidRPr="00A51FA2">
        <w:rPr>
          <w:rFonts w:ascii="Arial" w:hAnsi="Arial" w:cs="Arial"/>
          <w:i/>
          <w:iCs/>
        </w:rPr>
        <w:t xml:space="preserve">počtu uplatněných adhezních nároků a v jaké celkové výši za požadovaná </w:t>
      </w:r>
      <w:r w:rsidRPr="00A51FA2">
        <w:rPr>
          <w:rFonts w:ascii="Arial" w:hAnsi="Arial" w:cs="Arial"/>
          <w:i/>
          <w:iCs/>
        </w:rPr>
        <w:br/>
        <w:t xml:space="preserve">    období  týkající se spravovaných daní.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55"/>
        <w:gridCol w:w="1397"/>
        <w:gridCol w:w="2693"/>
        <w:gridCol w:w="1583"/>
      </w:tblGrid>
      <w:tr w:rsidR="00A51FA2" w:rsidRPr="00A51FA2" w14:paraId="6328996D" w14:textId="77777777" w:rsidTr="00064DF2">
        <w:trPr>
          <w:trHeight w:hRule="exact" w:val="567"/>
        </w:trPr>
        <w:tc>
          <w:tcPr>
            <w:tcW w:w="1155" w:type="dxa"/>
          </w:tcPr>
          <w:p w14:paraId="735BB2FB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ROK</w:t>
            </w:r>
          </w:p>
        </w:tc>
        <w:tc>
          <w:tcPr>
            <w:tcW w:w="1397" w:type="dxa"/>
          </w:tcPr>
          <w:p w14:paraId="1FEE2C6A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Adhezní řízení</w:t>
            </w:r>
          </w:p>
        </w:tc>
        <w:tc>
          <w:tcPr>
            <w:tcW w:w="2693" w:type="dxa"/>
          </w:tcPr>
          <w:p w14:paraId="0F2AA146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Dožádání adhezního řízení    jiný FÚ</w:t>
            </w:r>
          </w:p>
        </w:tc>
        <w:tc>
          <w:tcPr>
            <w:tcW w:w="1583" w:type="dxa"/>
          </w:tcPr>
          <w:p w14:paraId="7179A7D5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Škoda v mil. Kč</w:t>
            </w:r>
          </w:p>
        </w:tc>
      </w:tr>
      <w:tr w:rsidR="00A51FA2" w:rsidRPr="00A51FA2" w14:paraId="6C998EC2" w14:textId="77777777" w:rsidTr="00064DF2">
        <w:trPr>
          <w:trHeight w:hRule="exact" w:val="284"/>
        </w:trPr>
        <w:tc>
          <w:tcPr>
            <w:tcW w:w="1155" w:type="dxa"/>
          </w:tcPr>
          <w:p w14:paraId="2792DEF7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2020</w:t>
            </w:r>
          </w:p>
        </w:tc>
        <w:tc>
          <w:tcPr>
            <w:tcW w:w="1397" w:type="dxa"/>
          </w:tcPr>
          <w:p w14:paraId="48806094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28</w:t>
            </w:r>
          </w:p>
        </w:tc>
        <w:tc>
          <w:tcPr>
            <w:tcW w:w="2693" w:type="dxa"/>
          </w:tcPr>
          <w:p w14:paraId="0005E61C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</w:tcPr>
          <w:p w14:paraId="7D597990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431,2</w:t>
            </w:r>
          </w:p>
        </w:tc>
      </w:tr>
      <w:tr w:rsidR="00A51FA2" w:rsidRPr="00A51FA2" w14:paraId="3DB37320" w14:textId="77777777" w:rsidTr="00064DF2">
        <w:trPr>
          <w:trHeight w:hRule="exact" w:val="284"/>
        </w:trPr>
        <w:tc>
          <w:tcPr>
            <w:tcW w:w="1155" w:type="dxa"/>
          </w:tcPr>
          <w:p w14:paraId="5A06A36F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2021</w:t>
            </w:r>
          </w:p>
        </w:tc>
        <w:tc>
          <w:tcPr>
            <w:tcW w:w="1397" w:type="dxa"/>
          </w:tcPr>
          <w:p w14:paraId="4BB8B60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27</w:t>
            </w:r>
          </w:p>
        </w:tc>
        <w:tc>
          <w:tcPr>
            <w:tcW w:w="2693" w:type="dxa"/>
          </w:tcPr>
          <w:p w14:paraId="082B5F05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9</w:t>
            </w:r>
          </w:p>
        </w:tc>
        <w:tc>
          <w:tcPr>
            <w:tcW w:w="1583" w:type="dxa"/>
          </w:tcPr>
          <w:p w14:paraId="02E8F2B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744,4</w:t>
            </w:r>
          </w:p>
        </w:tc>
      </w:tr>
      <w:tr w:rsidR="00A51FA2" w:rsidRPr="00A51FA2" w14:paraId="56472C7B" w14:textId="77777777" w:rsidTr="00064DF2">
        <w:trPr>
          <w:trHeight w:hRule="exact" w:val="284"/>
        </w:trPr>
        <w:tc>
          <w:tcPr>
            <w:tcW w:w="1155" w:type="dxa"/>
          </w:tcPr>
          <w:p w14:paraId="2854720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2022</w:t>
            </w:r>
          </w:p>
        </w:tc>
        <w:tc>
          <w:tcPr>
            <w:tcW w:w="1397" w:type="dxa"/>
          </w:tcPr>
          <w:p w14:paraId="4AA6B056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30</w:t>
            </w:r>
          </w:p>
        </w:tc>
        <w:tc>
          <w:tcPr>
            <w:tcW w:w="2693" w:type="dxa"/>
          </w:tcPr>
          <w:p w14:paraId="77C7A583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21</w:t>
            </w:r>
          </w:p>
        </w:tc>
        <w:tc>
          <w:tcPr>
            <w:tcW w:w="1583" w:type="dxa"/>
          </w:tcPr>
          <w:p w14:paraId="41257D5D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771,9</w:t>
            </w:r>
          </w:p>
        </w:tc>
      </w:tr>
    </w:tbl>
    <w:p w14:paraId="03824068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</w:p>
    <w:p w14:paraId="36ED8177" w14:textId="77777777" w:rsidR="00A51FA2" w:rsidRPr="00A51FA2" w:rsidRDefault="00A51FA2" w:rsidP="00A51FA2">
      <w:pPr>
        <w:pStyle w:val="Default"/>
        <w:ind w:left="142" w:hanging="142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Style w:val="platne1"/>
          <w:rFonts w:ascii="Arial" w:hAnsi="Arial" w:cs="Arial"/>
          <w:sz w:val="22"/>
          <w:szCs w:val="22"/>
        </w:rPr>
        <w:t xml:space="preserve">4. </w:t>
      </w:r>
      <w:r w:rsidRPr="00A51FA2">
        <w:rPr>
          <w:rStyle w:val="platne1"/>
          <w:rFonts w:ascii="Arial" w:hAnsi="Arial" w:cs="Arial"/>
          <w:i/>
          <w:iCs/>
          <w:sz w:val="22"/>
          <w:szCs w:val="22"/>
        </w:rPr>
        <w:t>Informace o</w:t>
      </w:r>
      <w:r w:rsidRPr="00A51FA2">
        <w:rPr>
          <w:rFonts w:ascii="Arial" w:hAnsi="Arial" w:cs="Arial"/>
          <w:i/>
          <w:iCs/>
          <w:sz w:val="22"/>
          <w:szCs w:val="22"/>
        </w:rPr>
        <w:t xml:space="preserve"> počtu uplatněných adhezních nároků a v jaké výši vztahující se ke </w:t>
      </w:r>
      <w:r w:rsidRPr="00A51FA2">
        <w:rPr>
          <w:rFonts w:ascii="Arial" w:hAnsi="Arial" w:cs="Arial"/>
          <w:i/>
          <w:iCs/>
          <w:sz w:val="22"/>
          <w:szCs w:val="22"/>
        </w:rPr>
        <w:br/>
        <w:t xml:space="preserve">   kompenzačnímu bonusu.</w:t>
      </w:r>
    </w:p>
    <w:p w14:paraId="508C8819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FE321" wp14:editId="64594885">
                <wp:simplePos x="0" y="0"/>
                <wp:positionH relativeFrom="column">
                  <wp:posOffset>3148330</wp:posOffset>
                </wp:positionH>
                <wp:positionV relativeFrom="paragraph">
                  <wp:posOffset>2176144</wp:posOffset>
                </wp:positionV>
                <wp:extent cx="3243580" cy="143510"/>
                <wp:effectExtent l="0" t="0" r="0" b="0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4358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F9AA" w14:textId="77777777" w:rsidR="00A51FA2" w:rsidRDefault="00A51FA2" w:rsidP="00A51FA2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</w:t>
                            </w:r>
                          </w:p>
                          <w:p w14:paraId="7CF4B5A3" w14:textId="77777777" w:rsidR="00A51FA2" w:rsidRDefault="00A51FA2" w:rsidP="00A51FA2">
                            <w:pPr>
                              <w:spacing w:after="0" w:line="240" w:lineRule="auto"/>
                            </w:pPr>
                          </w:p>
                          <w:p w14:paraId="52E927F9" w14:textId="77777777" w:rsidR="00A51FA2" w:rsidRDefault="00A51FA2" w:rsidP="00A51FA2">
                            <w:pPr>
                              <w:spacing w:after="0" w:line="240" w:lineRule="auto"/>
                            </w:pPr>
                          </w:p>
                          <w:p w14:paraId="55AF5BBD" w14:textId="77777777" w:rsidR="00A51FA2" w:rsidRDefault="00A51FA2" w:rsidP="00A51FA2">
                            <w:pPr>
                              <w:spacing w:after="0" w:line="240" w:lineRule="auto"/>
                            </w:pPr>
                          </w:p>
                          <w:p w14:paraId="435F4B29" w14:textId="77777777" w:rsidR="00A51FA2" w:rsidRDefault="00A51FA2" w:rsidP="00A51FA2">
                            <w:pPr>
                              <w:spacing w:after="0" w:line="240" w:lineRule="auto"/>
                              <w:rPr>
                                <w:rStyle w:val="platne1"/>
                                <w:rFonts w:ascii="Arial" w:hAnsi="Arial" w:cs="Arial"/>
                              </w:rPr>
                            </w:pPr>
                            <w:r>
                              <w:t xml:space="preserve">                               </w:t>
                            </w:r>
                            <w:r>
                              <w:rPr>
                                <w:rStyle w:val="platne1"/>
                                <w:rFonts w:ascii="Arial" w:hAnsi="Arial" w:cs="Arial"/>
                              </w:rPr>
                              <w:t>Ing. Václav Žemlička</w:t>
                            </w:r>
                          </w:p>
                          <w:p w14:paraId="39D33425" w14:textId="77777777" w:rsidR="00A51FA2" w:rsidRDefault="00A51FA2" w:rsidP="00A51FA2">
                            <w:r>
                              <w:rPr>
                                <w:rStyle w:val="platne1"/>
                                <w:rFonts w:ascii="Arial" w:hAnsi="Arial" w:cs="Arial"/>
                              </w:rPr>
                              <w:t xml:space="preserve">                       ředitel finančního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FE321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left:0;text-align:left;margin-left:247.9pt;margin-top:171.35pt;width:255.4pt;height:11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" filled="f" stroked="f">
                <v:textbox>
                  <w:txbxContent>
                    <w:p w14:paraId="2A96F9AA" w14:textId="77777777" w:rsidR="00A51FA2" w:rsidRDefault="00A51FA2" w:rsidP="00A51FA2">
                      <w:pPr>
                        <w:spacing w:after="0" w:line="240" w:lineRule="auto"/>
                      </w:pPr>
                      <w:r>
                        <w:t xml:space="preserve">                              </w:t>
                      </w:r>
                    </w:p>
                    <w:p w14:paraId="7CF4B5A3" w14:textId="77777777" w:rsidR="00A51FA2" w:rsidRDefault="00A51FA2" w:rsidP="00A51FA2">
                      <w:pPr>
                        <w:spacing w:after="0" w:line="240" w:lineRule="auto"/>
                      </w:pPr>
                    </w:p>
                    <w:p w14:paraId="52E927F9" w14:textId="77777777" w:rsidR="00A51FA2" w:rsidRDefault="00A51FA2" w:rsidP="00A51FA2">
                      <w:pPr>
                        <w:spacing w:after="0" w:line="240" w:lineRule="auto"/>
                      </w:pPr>
                    </w:p>
                    <w:p w14:paraId="55AF5BBD" w14:textId="77777777" w:rsidR="00A51FA2" w:rsidRDefault="00A51FA2" w:rsidP="00A51FA2">
                      <w:pPr>
                        <w:spacing w:after="0" w:line="240" w:lineRule="auto"/>
                      </w:pPr>
                    </w:p>
                    <w:p w14:paraId="435F4B29" w14:textId="77777777" w:rsidR="00A51FA2" w:rsidRDefault="00A51FA2" w:rsidP="00A51FA2">
                      <w:pPr>
                        <w:spacing w:after="0" w:line="240" w:lineRule="auto"/>
                        <w:rPr>
                          <w:rStyle w:val="platne1"/>
                          <w:rFonts w:ascii="Arial" w:hAnsi="Arial" w:cs="Arial"/>
                        </w:rPr>
                      </w:pPr>
                      <w:r>
                        <w:t xml:space="preserve">                               </w:t>
                      </w:r>
                      <w:r>
                        <w:rPr>
                          <w:rStyle w:val="platne1"/>
                          <w:rFonts w:ascii="Arial" w:hAnsi="Arial" w:cs="Arial"/>
                        </w:rPr>
                        <w:t>Ing. Václav Žemlička</w:t>
                      </w:r>
                    </w:p>
                    <w:p w14:paraId="39D33425" w14:textId="77777777" w:rsidR="00A51FA2" w:rsidRDefault="00A51FA2" w:rsidP="00A51FA2">
                      <w:r>
                        <w:rPr>
                          <w:rStyle w:val="platne1"/>
                          <w:rFonts w:ascii="Arial" w:hAnsi="Arial" w:cs="Arial"/>
                        </w:rPr>
                        <w:t xml:space="preserve">                       ředitel finančního úřadu</w:t>
                      </w:r>
                    </w:p>
                  </w:txbxContent>
                </v:textbox>
              </v:shape>
            </w:pict>
          </mc:Fallback>
        </mc:AlternateContent>
      </w:r>
      <w:r w:rsidRPr="00A51FA2">
        <w:rPr>
          <w:rStyle w:val="platne1"/>
          <w:rFonts w:ascii="Arial" w:hAnsi="Arial" w:cs="Arial"/>
        </w:rPr>
        <w:t xml:space="preserve">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557"/>
        <w:gridCol w:w="2971"/>
      </w:tblGrid>
      <w:tr w:rsidR="00A51FA2" w:rsidRPr="00A51FA2" w14:paraId="4B6150D6" w14:textId="77777777" w:rsidTr="00064DF2">
        <w:trPr>
          <w:trHeight w:hRule="exact" w:val="284"/>
        </w:trPr>
        <w:tc>
          <w:tcPr>
            <w:tcW w:w="1271" w:type="dxa"/>
          </w:tcPr>
          <w:p w14:paraId="3A4E0711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ROK</w:t>
            </w:r>
          </w:p>
        </w:tc>
        <w:tc>
          <w:tcPr>
            <w:tcW w:w="2557" w:type="dxa"/>
          </w:tcPr>
          <w:p w14:paraId="5E71E4CD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Adhezní řízení KB</w:t>
            </w:r>
          </w:p>
        </w:tc>
        <w:tc>
          <w:tcPr>
            <w:tcW w:w="2971" w:type="dxa"/>
          </w:tcPr>
          <w:p w14:paraId="52636D34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Škoda v Kč</w:t>
            </w:r>
          </w:p>
        </w:tc>
      </w:tr>
      <w:tr w:rsidR="00A51FA2" w:rsidRPr="00A51FA2" w14:paraId="01A47877" w14:textId="77777777" w:rsidTr="00064DF2">
        <w:trPr>
          <w:trHeight w:hRule="exact" w:val="284"/>
        </w:trPr>
        <w:tc>
          <w:tcPr>
            <w:tcW w:w="1271" w:type="dxa"/>
          </w:tcPr>
          <w:p w14:paraId="6F66FFA0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2020</w:t>
            </w:r>
          </w:p>
        </w:tc>
        <w:tc>
          <w:tcPr>
            <w:tcW w:w="2557" w:type="dxa"/>
          </w:tcPr>
          <w:p w14:paraId="5D698DD1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0</w:t>
            </w:r>
          </w:p>
        </w:tc>
        <w:tc>
          <w:tcPr>
            <w:tcW w:w="2971" w:type="dxa"/>
          </w:tcPr>
          <w:p w14:paraId="35726BF5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0</w:t>
            </w:r>
          </w:p>
        </w:tc>
      </w:tr>
      <w:tr w:rsidR="00A51FA2" w:rsidRPr="00A51FA2" w14:paraId="438D81AA" w14:textId="77777777" w:rsidTr="00064DF2">
        <w:trPr>
          <w:trHeight w:hRule="exact" w:val="284"/>
        </w:trPr>
        <w:tc>
          <w:tcPr>
            <w:tcW w:w="1271" w:type="dxa"/>
          </w:tcPr>
          <w:p w14:paraId="1DAE1445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2021</w:t>
            </w:r>
          </w:p>
        </w:tc>
        <w:tc>
          <w:tcPr>
            <w:tcW w:w="2557" w:type="dxa"/>
          </w:tcPr>
          <w:p w14:paraId="3A4C66E5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3</w:t>
            </w:r>
          </w:p>
        </w:tc>
        <w:tc>
          <w:tcPr>
            <w:tcW w:w="2971" w:type="dxa"/>
          </w:tcPr>
          <w:p w14:paraId="20143DA4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169 500</w:t>
            </w:r>
          </w:p>
        </w:tc>
      </w:tr>
      <w:tr w:rsidR="00A51FA2" w:rsidRPr="00A51FA2" w14:paraId="1D481FD8" w14:textId="77777777" w:rsidTr="00064DF2">
        <w:trPr>
          <w:trHeight w:hRule="exact" w:val="284"/>
        </w:trPr>
        <w:tc>
          <w:tcPr>
            <w:tcW w:w="1271" w:type="dxa"/>
          </w:tcPr>
          <w:p w14:paraId="26B41C5E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2022</w:t>
            </w:r>
          </w:p>
        </w:tc>
        <w:tc>
          <w:tcPr>
            <w:tcW w:w="2557" w:type="dxa"/>
          </w:tcPr>
          <w:p w14:paraId="66B1122B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10</w:t>
            </w:r>
          </w:p>
        </w:tc>
        <w:tc>
          <w:tcPr>
            <w:tcW w:w="2971" w:type="dxa"/>
          </w:tcPr>
          <w:p w14:paraId="3212FB86" w14:textId="77777777" w:rsidR="00A51FA2" w:rsidRPr="00A51FA2" w:rsidRDefault="00A51FA2" w:rsidP="00064DF2">
            <w:pPr>
              <w:jc w:val="center"/>
              <w:rPr>
                <w:rFonts w:ascii="Arial" w:hAnsi="Arial" w:cs="Arial"/>
              </w:rPr>
            </w:pPr>
            <w:r w:rsidRPr="00A51FA2">
              <w:rPr>
                <w:rFonts w:ascii="Arial" w:hAnsi="Arial" w:cs="Arial"/>
              </w:rPr>
              <w:t>1 123 000</w:t>
            </w:r>
          </w:p>
        </w:tc>
      </w:tr>
    </w:tbl>
    <w:p w14:paraId="72FA64FA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Style w:val="platne1"/>
          <w:rFonts w:ascii="Arial" w:hAnsi="Arial" w:cs="Arial"/>
        </w:rPr>
        <w:t xml:space="preserve">      </w:t>
      </w:r>
    </w:p>
    <w:p w14:paraId="4A72D7F1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Fonts w:ascii="Arial" w:hAnsi="Arial" w:cs="Arial"/>
          <w:i/>
          <w:iCs/>
          <w:sz w:val="22"/>
          <w:szCs w:val="22"/>
        </w:rPr>
        <w:t>5. Počet přiznaných adhezních nároků, tj. přiznání nároku na náhradu škody ve smyslu ust. § 228 zákona č. 141/1961 Sb., trestní řád a v jaké výši za požadovaná období.</w:t>
      </w:r>
    </w:p>
    <w:p w14:paraId="32D30DD2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5C5FFE3" w14:textId="77777777" w:rsidR="00A51FA2" w:rsidRPr="00A51FA2" w:rsidRDefault="00A51FA2" w:rsidP="00A51FA2">
      <w:pPr>
        <w:rPr>
          <w:rFonts w:ascii="Arial" w:hAnsi="Arial" w:cs="Arial"/>
        </w:rPr>
      </w:pPr>
      <w:r w:rsidRPr="00A51FA2">
        <w:rPr>
          <w:rFonts w:ascii="Arial" w:hAnsi="Arial" w:cs="Arial"/>
        </w:rPr>
        <w:t xml:space="preserve">     24 přiznaných nároků na náhradu škody v celkové výši 164 293 153,-  Kč. </w:t>
      </w:r>
    </w:p>
    <w:p w14:paraId="77F6960E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Fonts w:ascii="Arial" w:hAnsi="Arial" w:cs="Arial"/>
          <w:i/>
          <w:iCs/>
          <w:sz w:val="22"/>
          <w:szCs w:val="22"/>
        </w:rPr>
        <w:t xml:space="preserve">6. V jakém rozsahu byl správce daně ve sledovaných obdobích odkázán na uplatnění svého nároku zcela nebo jen v části v občanskoprávním řízení. </w:t>
      </w:r>
    </w:p>
    <w:p w14:paraId="49E79B2F" w14:textId="77777777" w:rsidR="00A51FA2" w:rsidRPr="00A51FA2" w:rsidRDefault="00A51FA2" w:rsidP="00A51FA2">
      <w:pPr>
        <w:rPr>
          <w:rFonts w:ascii="Arial" w:hAnsi="Arial" w:cs="Arial"/>
        </w:rPr>
      </w:pPr>
      <w:r w:rsidRPr="00A51FA2">
        <w:rPr>
          <w:rFonts w:ascii="Arial" w:hAnsi="Arial" w:cs="Arial"/>
        </w:rPr>
        <w:br/>
        <w:t xml:space="preserve">     Ve 14 případech zcela a ve 3 případech zčásti. </w:t>
      </w:r>
    </w:p>
    <w:p w14:paraId="55393CE7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Fonts w:ascii="Arial" w:hAnsi="Arial" w:cs="Arial"/>
          <w:i/>
          <w:iCs/>
          <w:sz w:val="22"/>
          <w:szCs w:val="22"/>
        </w:rPr>
        <w:t xml:space="preserve">7. Informace týkající se počtu přistoupení správce daně k uzavření dohody o vině a trestu či jiné formě odklonu za vedená období. </w:t>
      </w:r>
    </w:p>
    <w:p w14:paraId="0FE25A2A" w14:textId="77777777" w:rsidR="00A51FA2" w:rsidRPr="00A51FA2" w:rsidRDefault="00A51FA2" w:rsidP="00A51FA2">
      <w:pPr>
        <w:rPr>
          <w:rFonts w:ascii="Arial" w:hAnsi="Arial" w:cs="Arial"/>
        </w:rPr>
      </w:pPr>
      <w:r w:rsidRPr="00A51FA2">
        <w:rPr>
          <w:rFonts w:ascii="Arial" w:hAnsi="Arial" w:cs="Arial"/>
        </w:rPr>
        <w:t xml:space="preserve">     </w:t>
      </w:r>
    </w:p>
    <w:p w14:paraId="79A9B47A" w14:textId="77777777" w:rsidR="00A51FA2" w:rsidRPr="00A51FA2" w:rsidRDefault="00A51FA2" w:rsidP="00A51FA2">
      <w:pPr>
        <w:rPr>
          <w:rFonts w:ascii="Arial" w:hAnsi="Arial" w:cs="Arial"/>
        </w:rPr>
      </w:pPr>
      <w:r w:rsidRPr="00A51FA2">
        <w:rPr>
          <w:rFonts w:ascii="Arial" w:hAnsi="Arial" w:cs="Arial"/>
        </w:rPr>
        <w:t xml:space="preserve">    5 dohod o vině a testu. </w:t>
      </w:r>
    </w:p>
    <w:p w14:paraId="44AEFFB8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Style w:val="platne1"/>
          <w:rFonts w:ascii="Arial" w:hAnsi="Arial" w:cs="Arial"/>
          <w:sz w:val="22"/>
          <w:szCs w:val="22"/>
        </w:rPr>
        <w:t xml:space="preserve">8. </w:t>
      </w:r>
      <w:r w:rsidRPr="00A51FA2">
        <w:rPr>
          <w:rStyle w:val="platne1"/>
          <w:rFonts w:ascii="Arial" w:hAnsi="Arial" w:cs="Arial"/>
          <w:i/>
          <w:iCs/>
          <w:sz w:val="22"/>
          <w:szCs w:val="22"/>
        </w:rPr>
        <w:t xml:space="preserve">Informace   </w:t>
      </w:r>
      <w:r w:rsidRPr="00A51FA2">
        <w:rPr>
          <w:rFonts w:ascii="Arial" w:hAnsi="Arial" w:cs="Arial"/>
          <w:i/>
          <w:iCs/>
          <w:sz w:val="22"/>
          <w:szCs w:val="22"/>
        </w:rPr>
        <w:t xml:space="preserve">zda je vedena centralizovaná evidence informací týkajících se zahájení, průběhu a ukončení trestního řízení na úrovni krajské, tj. řídící nebo jen na úrovni územních pracovišť. </w:t>
      </w:r>
    </w:p>
    <w:p w14:paraId="08950F3D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9763F05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Style w:val="platne1"/>
          <w:rFonts w:ascii="Arial" w:hAnsi="Arial" w:cs="Arial"/>
        </w:rPr>
        <w:t xml:space="preserve">Na územních pracovištích i řídící úrovni, tj. finančních úřadech.  </w:t>
      </w:r>
    </w:p>
    <w:p w14:paraId="285C94EF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Style w:val="platne1"/>
          <w:rFonts w:ascii="Arial" w:hAnsi="Arial" w:cs="Arial"/>
        </w:rPr>
        <w:lastRenderedPageBreak/>
        <w:t xml:space="preserve">9. </w:t>
      </w:r>
      <w:r w:rsidRPr="00A51FA2">
        <w:rPr>
          <w:rStyle w:val="platne1"/>
          <w:rFonts w:ascii="Arial" w:hAnsi="Arial" w:cs="Arial"/>
          <w:i/>
          <w:iCs/>
        </w:rPr>
        <w:t xml:space="preserve">Informace   </w:t>
      </w:r>
      <w:r w:rsidRPr="00A51FA2">
        <w:rPr>
          <w:rFonts w:ascii="Arial" w:hAnsi="Arial" w:cs="Arial"/>
          <w:i/>
          <w:iCs/>
        </w:rPr>
        <w:t>zda výkon rozhodnuti týkající se přiznání náhrady škody ve smyslu ust. § 228</w:t>
      </w:r>
      <w:r w:rsidRPr="00A51FA2">
        <w:rPr>
          <w:rFonts w:ascii="Arial" w:hAnsi="Arial" w:cs="Arial"/>
          <w:i/>
          <w:iCs/>
        </w:rPr>
        <w:br/>
        <w:t xml:space="preserve">    trestního řádu je stran správce daně uplatňován prostřednictvím exekučního řízení soudním</w:t>
      </w:r>
      <w:r w:rsidRPr="00A51FA2">
        <w:rPr>
          <w:rFonts w:ascii="Arial" w:hAnsi="Arial" w:cs="Arial"/>
          <w:i/>
          <w:iCs/>
        </w:rPr>
        <w:br/>
        <w:t xml:space="preserve">   exekutorem nebo prostřednictvím soudního výkonu rozhodnutí</w:t>
      </w:r>
      <w:r w:rsidRPr="00A51FA2">
        <w:rPr>
          <w:rStyle w:val="platne1"/>
          <w:rFonts w:ascii="Arial" w:hAnsi="Arial" w:cs="Arial"/>
          <w:i/>
          <w:iCs/>
        </w:rPr>
        <w:t xml:space="preserve">.                                                                     </w:t>
      </w:r>
    </w:p>
    <w:p w14:paraId="02CA60CE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Style w:val="platne1"/>
          <w:rFonts w:ascii="Arial" w:hAnsi="Arial" w:cs="Arial"/>
        </w:rPr>
        <w:t xml:space="preserve">Jsou uplatňovány oba způsoby. </w:t>
      </w:r>
    </w:p>
    <w:p w14:paraId="28F0795B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Style w:val="platne1"/>
          <w:rFonts w:ascii="Arial" w:hAnsi="Arial" w:cs="Arial"/>
          <w:sz w:val="22"/>
          <w:szCs w:val="22"/>
        </w:rPr>
        <w:t xml:space="preserve">10. </w:t>
      </w:r>
      <w:r w:rsidRPr="00A51FA2">
        <w:rPr>
          <w:rStyle w:val="platne1"/>
          <w:rFonts w:ascii="Arial" w:hAnsi="Arial" w:cs="Arial"/>
          <w:i/>
          <w:iCs/>
          <w:sz w:val="22"/>
          <w:szCs w:val="22"/>
        </w:rPr>
        <w:t xml:space="preserve">Informace </w:t>
      </w:r>
      <w:r w:rsidRPr="00A51FA2">
        <w:rPr>
          <w:rFonts w:ascii="Arial" w:hAnsi="Arial" w:cs="Arial"/>
          <w:i/>
          <w:iCs/>
          <w:sz w:val="22"/>
          <w:szCs w:val="22"/>
        </w:rPr>
        <w:t>zda v případě přiznaných adhezních nároků ve smyslu  ust. § 229 trestního</w:t>
      </w:r>
    </w:p>
    <w:p w14:paraId="2C6C6C95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A51FA2">
        <w:rPr>
          <w:rFonts w:ascii="Arial" w:hAnsi="Arial" w:cs="Arial"/>
          <w:i/>
          <w:iCs/>
          <w:sz w:val="22"/>
          <w:szCs w:val="22"/>
        </w:rPr>
        <w:t xml:space="preserve">      řádu správce daně využívá podání návrhu na náhradu škody v rámci civilního řízení, pokud </w:t>
      </w:r>
      <w:r w:rsidRPr="00A51FA2">
        <w:rPr>
          <w:rFonts w:ascii="Arial" w:hAnsi="Arial" w:cs="Arial"/>
          <w:i/>
          <w:iCs/>
          <w:sz w:val="22"/>
          <w:szCs w:val="22"/>
        </w:rPr>
        <w:br/>
        <w:t xml:space="preserve">  ano, bylo o uplatněném nároku rozhodnuto uspokojivě? Pokud ne, co bylo stěžejním </w:t>
      </w:r>
      <w:r w:rsidRPr="00A51FA2">
        <w:rPr>
          <w:rFonts w:ascii="Arial" w:hAnsi="Arial" w:cs="Arial"/>
          <w:i/>
          <w:iCs/>
          <w:sz w:val="22"/>
          <w:szCs w:val="22"/>
        </w:rPr>
        <w:br/>
        <w:t xml:space="preserve">  důvodem?</w:t>
      </w:r>
    </w:p>
    <w:p w14:paraId="568E5669" w14:textId="77777777" w:rsidR="00A51FA2" w:rsidRPr="00A51FA2" w:rsidRDefault="00A51FA2" w:rsidP="00A51FA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95E285" w14:textId="77777777" w:rsidR="00A51FA2" w:rsidRPr="00A51FA2" w:rsidRDefault="00A51FA2" w:rsidP="00A51FA2">
      <w:pPr>
        <w:jc w:val="both"/>
        <w:rPr>
          <w:rStyle w:val="platne1"/>
          <w:rFonts w:ascii="Arial" w:hAnsi="Arial" w:cs="Arial"/>
        </w:rPr>
      </w:pPr>
      <w:r w:rsidRPr="00A51FA2">
        <w:rPr>
          <w:rStyle w:val="platne1"/>
          <w:rFonts w:ascii="Arial" w:hAnsi="Arial" w:cs="Arial"/>
        </w:rPr>
        <w:t xml:space="preserve">  Zpravidla je upřednostňován institut ručení ve smyslu § 172 a následující daňového řádu ve </w:t>
      </w:r>
      <w:r w:rsidRPr="00A51FA2">
        <w:rPr>
          <w:rStyle w:val="platne1"/>
          <w:rFonts w:ascii="Arial" w:hAnsi="Arial" w:cs="Arial"/>
        </w:rPr>
        <w:br/>
        <w:t xml:space="preserve">  spojení s § 159 občanského zákoníku. </w:t>
      </w:r>
    </w:p>
    <w:p w14:paraId="79350EB0" w14:textId="77777777" w:rsidR="008E703F" w:rsidRDefault="008E703F" w:rsidP="00A247A9">
      <w:pPr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E23AC"/>
    <w:rsid w:val="002668CE"/>
    <w:rsid w:val="003F4FD5"/>
    <w:rsid w:val="00564A37"/>
    <w:rsid w:val="00577964"/>
    <w:rsid w:val="00884203"/>
    <w:rsid w:val="008E703F"/>
    <w:rsid w:val="00A247A9"/>
    <w:rsid w:val="00A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681</Words>
  <Characters>4020</Characters>
  <Application>Microsoft Office Word</Application>
  <DocSecurity>0</DocSecurity>
  <Lines>33</Lines>
  <Paragraphs>9</Paragraphs>
  <ScaleCrop>false</ScaleCrop>
  <Company>GFR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9</cp:revision>
  <dcterms:created xsi:type="dcterms:W3CDTF">2022-11-15T09:53:00Z</dcterms:created>
  <dcterms:modified xsi:type="dcterms:W3CDTF">2023-05-25T09:13:00Z</dcterms:modified>
</cp:coreProperties>
</file>