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39EA" w14:textId="77777777" w:rsidR="00192B90" w:rsidRPr="00D610DA" w:rsidRDefault="00192B90" w:rsidP="00192B90">
      <w:pPr>
        <w:pStyle w:val="Bezmezer"/>
        <w:rPr>
          <w:rFonts w:ascii="Arial" w:hAnsi="Arial" w:cs="Arial"/>
          <w:b/>
          <w:szCs w:val="24"/>
        </w:rPr>
      </w:pPr>
      <w:r w:rsidRPr="00D610DA">
        <w:rPr>
          <w:rFonts w:ascii="Arial" w:hAnsi="Arial" w:cs="Arial"/>
          <w:b/>
          <w:szCs w:val="24"/>
        </w:rPr>
        <w:t>FINANČNÍ ÚŘAD PRO JIHOMORAVSKÝ KRAJ</w:t>
      </w:r>
    </w:p>
    <w:p w14:paraId="323B99DB" w14:textId="77777777" w:rsidR="003C14B0" w:rsidRDefault="00192B90" w:rsidP="00192B90">
      <w:pPr>
        <w:rPr>
          <w:rFonts w:ascii="Arial" w:hAnsi="Arial" w:cs="Arial"/>
          <w:sz w:val="22"/>
        </w:rPr>
      </w:pPr>
      <w:r w:rsidRPr="001D0A57">
        <w:rPr>
          <w:rFonts w:ascii="Arial" w:hAnsi="Arial" w:cs="Arial"/>
          <w:sz w:val="22"/>
        </w:rPr>
        <w:t>náměstí Svobody 4, 602 00 Brno</w:t>
      </w:r>
    </w:p>
    <w:p w14:paraId="338A23DA" w14:textId="77777777" w:rsidR="00D20FB6" w:rsidRPr="001D0A57" w:rsidRDefault="00D20FB6" w:rsidP="00192B90">
      <w:pPr>
        <w:rPr>
          <w:rFonts w:ascii="Arial" w:hAnsi="Arial" w:cs="Arial"/>
          <w:sz w:val="22"/>
        </w:rPr>
      </w:pPr>
    </w:p>
    <w:p w14:paraId="4A3AD29E" w14:textId="65A6F7CD" w:rsidR="00D33CDF" w:rsidRPr="00C55712" w:rsidRDefault="00D33CDF" w:rsidP="00C55712">
      <w:pPr>
        <w:jc w:val="right"/>
        <w:rPr>
          <w:rFonts w:ascii="Arial" w:hAnsi="Arial" w:cs="Arial"/>
          <w:sz w:val="22"/>
        </w:rPr>
      </w:pPr>
      <w:r w:rsidRPr="00737C9D">
        <w:rPr>
          <w:rFonts w:ascii="Arial" w:hAnsi="Arial" w:cs="Arial"/>
          <w:sz w:val="22"/>
        </w:rPr>
        <w:t xml:space="preserve">V Brně </w:t>
      </w:r>
      <w:r w:rsidR="003C14B0" w:rsidRPr="00737C9D">
        <w:rPr>
          <w:rFonts w:ascii="Arial" w:hAnsi="Arial" w:cs="Arial"/>
          <w:sz w:val="22"/>
        </w:rPr>
        <w:t xml:space="preserve">dne </w:t>
      </w:r>
      <w:r w:rsidR="00C55712">
        <w:rPr>
          <w:rFonts w:ascii="Arial" w:hAnsi="Arial" w:cs="Arial"/>
          <w:sz w:val="22"/>
        </w:rPr>
        <w:t>22.05.2023</w:t>
      </w:r>
    </w:p>
    <w:p w14:paraId="4DAED056" w14:textId="77777777" w:rsidR="00192B90" w:rsidRPr="009F670F" w:rsidRDefault="003C14B0" w:rsidP="00344D1B">
      <w:pPr>
        <w:spacing w:after="0" w:line="240" w:lineRule="auto"/>
        <w:jc w:val="both"/>
        <w:rPr>
          <w:rFonts w:ascii="Arial" w:hAnsi="Arial" w:cs="Arial"/>
          <w:sz w:val="22"/>
        </w:rPr>
      </w:pPr>
      <w:r w:rsidRPr="009F670F">
        <w:rPr>
          <w:rFonts w:ascii="Arial" w:hAnsi="Arial" w:cs="Arial"/>
          <w:sz w:val="22"/>
        </w:rPr>
        <w:t>Finanční úřad pro Jihomoravský kraj poskytl postupem podle zákona č. 106/1999 Sb., o</w:t>
      </w:r>
      <w:r w:rsidR="00110CC9" w:rsidRPr="009F670F">
        <w:rPr>
          <w:rFonts w:ascii="Arial" w:hAnsi="Arial" w:cs="Arial"/>
          <w:sz w:val="22"/>
        </w:rPr>
        <w:t> </w:t>
      </w:r>
      <w:r w:rsidRPr="009F670F">
        <w:rPr>
          <w:rFonts w:ascii="Arial" w:hAnsi="Arial" w:cs="Arial"/>
          <w:sz w:val="22"/>
        </w:rPr>
        <w:t>svobodném přístupu k informacím, ve znění pozdějších předpisů</w:t>
      </w:r>
      <w:r w:rsidR="001C2F4C" w:rsidRPr="009F670F">
        <w:rPr>
          <w:rFonts w:ascii="Arial" w:hAnsi="Arial" w:cs="Arial"/>
          <w:sz w:val="22"/>
        </w:rPr>
        <w:t xml:space="preserve"> (dále jen „</w:t>
      </w:r>
      <w:proofErr w:type="spellStart"/>
      <w:r w:rsidR="001C2F4C" w:rsidRPr="009F670F">
        <w:rPr>
          <w:rFonts w:ascii="Arial" w:hAnsi="Arial" w:cs="Arial"/>
          <w:sz w:val="22"/>
        </w:rPr>
        <w:t>InfZ</w:t>
      </w:r>
      <w:proofErr w:type="spellEnd"/>
      <w:r w:rsidR="001C2F4C" w:rsidRPr="009F670F">
        <w:rPr>
          <w:rFonts w:ascii="Arial" w:hAnsi="Arial" w:cs="Arial"/>
          <w:sz w:val="22"/>
        </w:rPr>
        <w:t>“)</w:t>
      </w:r>
      <w:r w:rsidRPr="009F670F">
        <w:rPr>
          <w:rFonts w:ascii="Arial" w:hAnsi="Arial" w:cs="Arial"/>
          <w:sz w:val="22"/>
        </w:rPr>
        <w:t>, níže uvedené informace</w:t>
      </w:r>
      <w:r w:rsidR="00110CC9" w:rsidRPr="009F670F">
        <w:rPr>
          <w:rFonts w:ascii="Arial" w:hAnsi="Arial" w:cs="Arial"/>
          <w:sz w:val="22"/>
        </w:rPr>
        <w:t>.</w:t>
      </w:r>
    </w:p>
    <w:p w14:paraId="467B6462" w14:textId="77777777" w:rsidR="002A598E" w:rsidRPr="009F670F" w:rsidRDefault="002A598E" w:rsidP="00344D1B">
      <w:pPr>
        <w:pStyle w:val="Default"/>
        <w:jc w:val="both"/>
        <w:rPr>
          <w:rFonts w:ascii="Arial" w:hAnsi="Arial" w:cs="Arial"/>
          <w:sz w:val="22"/>
          <w:szCs w:val="22"/>
        </w:rPr>
      </w:pPr>
    </w:p>
    <w:p w14:paraId="06C6E816" w14:textId="77777777" w:rsidR="00A3199A" w:rsidRPr="00A3199A" w:rsidRDefault="00F541D6" w:rsidP="00344D1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2"/>
        </w:rPr>
      </w:pPr>
      <w:r w:rsidRPr="009F670F">
        <w:rPr>
          <w:rFonts w:ascii="Arial" w:hAnsi="Arial" w:cs="Arial"/>
          <w:b/>
          <w:sz w:val="22"/>
        </w:rPr>
        <w:t>Žádostí byly po povinném subjektu požadovány tyto informace:</w:t>
      </w:r>
    </w:p>
    <w:tbl>
      <w:tblPr>
        <w:tblW w:w="8714" w:type="dxa"/>
        <w:tblBorders>
          <w:top w:val="nil"/>
          <w:left w:val="nil"/>
          <w:bottom w:val="nil"/>
          <w:right w:val="nil"/>
        </w:tblBorders>
        <w:tblLayout w:type="fixed"/>
        <w:tblLook w:val="0000" w:firstRow="0" w:lastRow="0" w:firstColumn="0" w:lastColumn="0" w:noHBand="0" w:noVBand="0"/>
      </w:tblPr>
      <w:tblGrid>
        <w:gridCol w:w="8714"/>
      </w:tblGrid>
      <w:tr w:rsidR="0049588D" w:rsidRPr="0049588D" w14:paraId="4B5E82E4" w14:textId="77777777" w:rsidTr="00C55712">
        <w:trPr>
          <w:trHeight w:val="364"/>
        </w:trPr>
        <w:tc>
          <w:tcPr>
            <w:tcW w:w="8714" w:type="dxa"/>
          </w:tcPr>
          <w:p w14:paraId="5A323238" w14:textId="77777777" w:rsidR="00C55712" w:rsidRPr="00C55712" w:rsidRDefault="00C55712" w:rsidP="00C55712">
            <w:pPr>
              <w:framePr w:hSpace="141" w:wrap="around" w:vAnchor="text" w:hAnchor="text" w:y="1"/>
              <w:spacing w:line="240" w:lineRule="auto"/>
              <w:jc w:val="both"/>
              <w:rPr>
                <w:rFonts w:ascii="Arial" w:hAnsi="Arial" w:cs="Arial"/>
                <w:i/>
                <w:iCs/>
                <w:sz w:val="22"/>
              </w:rPr>
            </w:pPr>
            <w:r w:rsidRPr="00C55712">
              <w:rPr>
                <w:rFonts w:ascii="Arial" w:hAnsi="Arial" w:cs="Arial"/>
                <w:i/>
                <w:iCs/>
                <w:sz w:val="22"/>
              </w:rPr>
              <w:t xml:space="preserve">1. Jaká je nominální výše přihlášených pohledávek do probíhajících insolvenčních řízení přihlášených vaším úřadem? </w:t>
            </w:r>
          </w:p>
          <w:p w14:paraId="52BD61E3" w14:textId="77777777" w:rsidR="00C55712" w:rsidRPr="00C55712" w:rsidRDefault="00C55712" w:rsidP="00C55712">
            <w:pPr>
              <w:framePr w:hSpace="141" w:wrap="around" w:vAnchor="text" w:hAnchor="text" w:y="1"/>
              <w:spacing w:line="240" w:lineRule="auto"/>
              <w:jc w:val="both"/>
              <w:rPr>
                <w:rFonts w:ascii="Arial" w:hAnsi="Arial" w:cs="Arial"/>
                <w:i/>
                <w:iCs/>
                <w:sz w:val="22"/>
              </w:rPr>
            </w:pPr>
            <w:r w:rsidRPr="00C55712">
              <w:rPr>
                <w:rFonts w:ascii="Arial" w:hAnsi="Arial" w:cs="Arial"/>
                <w:i/>
                <w:iCs/>
                <w:sz w:val="22"/>
              </w:rPr>
              <w:t>2. Jaká je výše zajištěných a nezajištěných přihlášených pohledávek do probíhajících insolvenčních řízení přihlášených vaším úřadem?</w:t>
            </w:r>
          </w:p>
          <w:p w14:paraId="46612F9C" w14:textId="77777777" w:rsidR="00C55712" w:rsidRPr="00C55712" w:rsidRDefault="00C55712" w:rsidP="00C55712">
            <w:pPr>
              <w:framePr w:hSpace="141" w:wrap="around" w:vAnchor="text" w:hAnchor="text" w:y="1"/>
              <w:spacing w:line="240" w:lineRule="auto"/>
              <w:jc w:val="both"/>
              <w:rPr>
                <w:rFonts w:ascii="Arial" w:hAnsi="Arial" w:cs="Arial"/>
                <w:i/>
                <w:iCs/>
                <w:sz w:val="22"/>
              </w:rPr>
            </w:pPr>
            <w:r w:rsidRPr="00C55712">
              <w:rPr>
                <w:rFonts w:ascii="Arial" w:hAnsi="Arial" w:cs="Arial"/>
                <w:i/>
                <w:iCs/>
                <w:sz w:val="22"/>
              </w:rPr>
              <w:t>3. Jaká je výše podmíněných a nepodmíněných přihlášených pohledávek do probíhajících insolvenčních řízení přihlášených vaším úřadem?</w:t>
            </w:r>
          </w:p>
          <w:p w14:paraId="0241E69E" w14:textId="77777777" w:rsidR="0049588D" w:rsidRDefault="00C55712" w:rsidP="00C55712">
            <w:pPr>
              <w:framePr w:hSpace="141" w:wrap="around" w:vAnchor="text" w:hAnchor="text" w:y="1"/>
              <w:spacing w:line="240" w:lineRule="auto"/>
              <w:jc w:val="both"/>
              <w:rPr>
                <w:rFonts w:ascii="Arial" w:hAnsi="Arial" w:cs="Arial"/>
                <w:i/>
                <w:iCs/>
                <w:sz w:val="22"/>
              </w:rPr>
            </w:pPr>
            <w:r w:rsidRPr="00C55712">
              <w:rPr>
                <w:rFonts w:ascii="Arial" w:hAnsi="Arial" w:cs="Arial"/>
                <w:i/>
                <w:iCs/>
                <w:sz w:val="22"/>
              </w:rPr>
              <w:t xml:space="preserve">4. V </w:t>
            </w:r>
            <w:r w:rsidRPr="00C55712">
              <w:rPr>
                <w:rFonts w:ascii="Arial" w:hAnsi="Arial" w:cs="Arial"/>
                <w:i/>
                <w:iCs/>
                <w:sz w:val="22"/>
              </w:rPr>
              <w:t>souvislosti,</w:t>
            </w:r>
            <w:r w:rsidRPr="00C55712">
              <w:rPr>
                <w:rFonts w:ascii="Arial" w:hAnsi="Arial" w:cs="Arial"/>
                <w:i/>
                <w:iCs/>
                <w:sz w:val="22"/>
              </w:rPr>
              <w:t xml:space="preserve"> s jakou výší přihlášených pohledávek (vaším úřadem) je aktivně vykonáváno věřitelské právo účastnit se schůze věřitelů? Otázka cílí na to, zda jsou zástupci ÚP přítomni na schůzi věřitelů a hlasují (například o způsobu řešení dlužníkova úpadku). Případně vás zdvořile žádám a stručný popis praxe v této oblasti.“</w:t>
            </w:r>
          </w:p>
          <w:p w14:paraId="316002F7" w14:textId="4B1AE013" w:rsidR="00C55712" w:rsidRPr="002C3516" w:rsidRDefault="00C55712" w:rsidP="00C55712">
            <w:pPr>
              <w:framePr w:hSpace="141" w:wrap="around" w:vAnchor="text" w:hAnchor="text" w:y="1"/>
              <w:spacing w:line="240" w:lineRule="auto"/>
              <w:jc w:val="both"/>
              <w:rPr>
                <w:rFonts w:ascii="Arial" w:hAnsi="Arial" w:cs="Arial"/>
                <w:i/>
                <w:iCs/>
                <w:sz w:val="22"/>
              </w:rPr>
            </w:pPr>
            <w:r>
              <w:rPr>
                <w:rFonts w:ascii="Arial" w:hAnsi="Arial" w:cs="Arial"/>
                <w:i/>
                <w:iCs/>
                <w:color w:val="000000"/>
                <w:sz w:val="22"/>
              </w:rPr>
              <w:t xml:space="preserve">5. </w:t>
            </w:r>
            <w:r w:rsidRPr="002E092A">
              <w:rPr>
                <w:rFonts w:ascii="Arial" w:hAnsi="Arial" w:cs="Arial"/>
                <w:i/>
                <w:iCs/>
                <w:color w:val="000000"/>
                <w:sz w:val="22"/>
              </w:rPr>
              <w:t>Do kolika insolvenčních řízení přihlásil Váš úřad pohledávky, resp. kolika řízení se Váš úřad účastní jako přihlášený věřitel</w:t>
            </w:r>
            <w:r>
              <w:rPr>
                <w:rFonts w:ascii="Arial" w:hAnsi="Arial" w:cs="Arial"/>
                <w:i/>
                <w:iCs/>
                <w:color w:val="000000"/>
                <w:sz w:val="22"/>
              </w:rPr>
              <w:t>?“</w:t>
            </w:r>
          </w:p>
        </w:tc>
      </w:tr>
    </w:tbl>
    <w:p w14:paraId="03D03169" w14:textId="77777777" w:rsidR="0049588D" w:rsidRPr="00AB2726" w:rsidRDefault="0049588D" w:rsidP="0049588D">
      <w:pPr>
        <w:framePr w:hSpace="141" w:wrap="around" w:vAnchor="text" w:hAnchor="text" w:y="1"/>
        <w:jc w:val="both"/>
        <w:rPr>
          <w:rFonts w:ascii="Arial" w:hAnsi="Arial" w:cs="Arial"/>
          <w:i/>
          <w:sz w:val="22"/>
        </w:rPr>
      </w:pPr>
    </w:p>
    <w:p w14:paraId="6C7FC97C" w14:textId="544CC7A9" w:rsidR="0049588D" w:rsidRPr="002C3516" w:rsidRDefault="00F541D6" w:rsidP="002C351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sz w:val="22"/>
        </w:rPr>
      </w:pPr>
      <w:r w:rsidRPr="009F670F">
        <w:rPr>
          <w:rFonts w:ascii="Arial" w:hAnsi="Arial" w:cs="Arial"/>
          <w:b/>
          <w:color w:val="000000"/>
          <w:sz w:val="22"/>
        </w:rPr>
        <w:t>Finanční úřa</w:t>
      </w:r>
      <w:r w:rsidR="002B68B8">
        <w:rPr>
          <w:rFonts w:ascii="Arial" w:hAnsi="Arial" w:cs="Arial"/>
          <w:b/>
          <w:color w:val="000000"/>
          <w:sz w:val="22"/>
        </w:rPr>
        <w:t>d pro Jihomoravský kraj</w:t>
      </w:r>
      <w:r w:rsidRPr="009F670F">
        <w:rPr>
          <w:rFonts w:ascii="Arial" w:hAnsi="Arial" w:cs="Arial"/>
          <w:b/>
          <w:color w:val="000000"/>
          <w:sz w:val="22"/>
        </w:rPr>
        <w:t xml:space="preserve"> poskytnul následující informace:</w:t>
      </w:r>
    </w:p>
    <w:p w14:paraId="7FB96C8F" w14:textId="6FA2947B" w:rsidR="002066EC" w:rsidRDefault="002066EC" w:rsidP="002066EC">
      <w:pPr>
        <w:jc w:val="both"/>
        <w:rPr>
          <w:rFonts w:ascii="Arial" w:hAnsi="Arial" w:cs="Arial"/>
          <w:sz w:val="22"/>
        </w:rPr>
      </w:pPr>
      <w:r w:rsidRPr="002066EC">
        <w:rPr>
          <w:rFonts w:ascii="Arial" w:hAnsi="Arial" w:cs="Arial"/>
          <w:sz w:val="22"/>
        </w:rPr>
        <w:t xml:space="preserve">Povinný subjekt posoudil obsah žádosti a uvádí následující: </w:t>
      </w:r>
    </w:p>
    <w:p w14:paraId="48690257" w14:textId="3A389DE1" w:rsidR="00C55712" w:rsidRDefault="00C55712" w:rsidP="00C55712">
      <w:pPr>
        <w:jc w:val="both"/>
        <w:rPr>
          <w:rFonts w:ascii="Arial" w:hAnsi="Arial" w:cs="Arial"/>
          <w:sz w:val="22"/>
        </w:rPr>
      </w:pPr>
      <w:r>
        <w:rPr>
          <w:rFonts w:ascii="Arial" w:hAnsi="Arial" w:cs="Arial"/>
          <w:sz w:val="22"/>
        </w:rPr>
        <w:t xml:space="preserve">Ustanovení § 2 odst. 1 </w:t>
      </w:r>
      <w:proofErr w:type="spellStart"/>
      <w:r>
        <w:rPr>
          <w:rFonts w:ascii="Arial" w:hAnsi="Arial" w:cs="Arial"/>
          <w:sz w:val="22"/>
        </w:rPr>
        <w:t>InfZ</w:t>
      </w:r>
      <w:proofErr w:type="spellEnd"/>
      <w:r>
        <w:rPr>
          <w:rFonts w:ascii="Arial" w:hAnsi="Arial" w:cs="Arial"/>
          <w:sz w:val="22"/>
        </w:rPr>
        <w:t xml:space="preserve"> zakotvuje, že povinnými subjekty jsou (mimo jiné) státní orgány, které mají povinnost poskytovat informace vztahující se k jeho působnosti. </w:t>
      </w:r>
      <w:r>
        <w:rPr>
          <w:rFonts w:ascii="Arial" w:hAnsi="Arial" w:cs="Arial"/>
          <w:sz w:val="22"/>
        </w:rPr>
        <w:br/>
        <w:t xml:space="preserve">Dle vymezení zvláštního zákona na příslušném odvětvovém úseku státní správy, </w:t>
      </w:r>
      <w:r>
        <w:rPr>
          <w:rFonts w:ascii="Arial" w:hAnsi="Arial" w:cs="Arial"/>
          <w:sz w:val="22"/>
        </w:rPr>
        <w:br/>
        <w:t xml:space="preserve">tj. zákona č. 456/2011 Sb., o Finanční správě České republiky, ve znění pozdějších předpisů, jsou tak Generální finanční ředitelství, Odvolací finanční ředitelství a finanční úřady, podle </w:t>
      </w:r>
      <w:proofErr w:type="spellStart"/>
      <w:r>
        <w:rPr>
          <w:rFonts w:ascii="Arial" w:hAnsi="Arial" w:cs="Arial"/>
          <w:sz w:val="22"/>
        </w:rPr>
        <w:t>InfZ</w:t>
      </w:r>
      <w:proofErr w:type="spellEnd"/>
      <w:r>
        <w:rPr>
          <w:rFonts w:ascii="Arial" w:hAnsi="Arial" w:cs="Arial"/>
          <w:sz w:val="22"/>
        </w:rPr>
        <w:t xml:space="preserve">, samostatnými povinnými subjekty, které poskytují informace vztahující se k jejich působnosti. Povinným subjektem tedy nejsou jednotlivá územní pracoviště. </w:t>
      </w:r>
    </w:p>
    <w:p w14:paraId="5DE53030" w14:textId="77777777" w:rsidR="00C55712" w:rsidRPr="00D66DBC" w:rsidRDefault="00C55712" w:rsidP="00C55712">
      <w:pPr>
        <w:jc w:val="both"/>
        <w:rPr>
          <w:rFonts w:ascii="Arial" w:hAnsi="Arial" w:cs="Arial"/>
          <w:b/>
          <w:bCs/>
          <w:sz w:val="22"/>
        </w:rPr>
      </w:pPr>
      <w:r w:rsidRPr="00D66DBC">
        <w:rPr>
          <w:rFonts w:ascii="Arial" w:hAnsi="Arial" w:cs="Arial"/>
          <w:b/>
          <w:bCs/>
          <w:sz w:val="22"/>
        </w:rPr>
        <w:t>K bodu 1, 2 a 3:</w:t>
      </w:r>
    </w:p>
    <w:tbl>
      <w:tblPr>
        <w:tblStyle w:val="Mkatabulky"/>
        <w:tblW w:w="0" w:type="auto"/>
        <w:tblLook w:val="04A0" w:firstRow="1" w:lastRow="0" w:firstColumn="1" w:lastColumn="0" w:noHBand="0" w:noVBand="1"/>
      </w:tblPr>
      <w:tblGrid>
        <w:gridCol w:w="4531"/>
        <w:gridCol w:w="4531"/>
      </w:tblGrid>
      <w:tr w:rsidR="00C55712" w:rsidRPr="00DA5F41" w14:paraId="48C93FAC" w14:textId="77777777" w:rsidTr="00247E2B">
        <w:trPr>
          <w:trHeight w:val="611"/>
        </w:trPr>
        <w:tc>
          <w:tcPr>
            <w:tcW w:w="4531" w:type="dxa"/>
            <w:vAlign w:val="center"/>
          </w:tcPr>
          <w:p w14:paraId="3C768877" w14:textId="77777777" w:rsidR="00C55712" w:rsidRPr="00DA5F41" w:rsidRDefault="00C55712" w:rsidP="00247E2B">
            <w:pPr>
              <w:jc w:val="center"/>
              <w:rPr>
                <w:b/>
                <w:bCs/>
              </w:rPr>
            </w:pPr>
            <w:r w:rsidRPr="00DA5F41">
              <w:rPr>
                <w:b/>
                <w:bCs/>
              </w:rPr>
              <w:t xml:space="preserve">Způsob </w:t>
            </w:r>
            <w:proofErr w:type="gramStart"/>
            <w:r w:rsidRPr="00DA5F41">
              <w:rPr>
                <w:b/>
                <w:bCs/>
              </w:rPr>
              <w:t>vymáhání - IŘ</w:t>
            </w:r>
            <w:proofErr w:type="gramEnd"/>
          </w:p>
        </w:tc>
        <w:tc>
          <w:tcPr>
            <w:tcW w:w="4531" w:type="dxa"/>
            <w:vAlign w:val="center"/>
          </w:tcPr>
          <w:p w14:paraId="2A5E0DB5" w14:textId="77777777" w:rsidR="00C55712" w:rsidRPr="00DA5F41" w:rsidRDefault="00C55712" w:rsidP="00247E2B">
            <w:pPr>
              <w:jc w:val="center"/>
              <w:rPr>
                <w:b/>
                <w:bCs/>
              </w:rPr>
            </w:pPr>
            <w:r w:rsidRPr="00DA5F41">
              <w:rPr>
                <w:b/>
                <w:bCs/>
              </w:rPr>
              <w:t>Pohledávky přihlášené do IŘ</w:t>
            </w:r>
          </w:p>
          <w:p w14:paraId="75408F60" w14:textId="77777777" w:rsidR="00C55712" w:rsidRPr="00DA5F41" w:rsidRDefault="00C55712" w:rsidP="00247E2B">
            <w:pPr>
              <w:jc w:val="center"/>
              <w:rPr>
                <w:b/>
                <w:bCs/>
              </w:rPr>
            </w:pPr>
            <w:r w:rsidRPr="00DA5F41">
              <w:rPr>
                <w:b/>
                <w:bCs/>
              </w:rPr>
              <w:t>(</w:t>
            </w:r>
            <w:r>
              <w:rPr>
                <w:b/>
                <w:bCs/>
              </w:rPr>
              <w:t xml:space="preserve">v </w:t>
            </w:r>
            <w:r w:rsidRPr="00DA5F41">
              <w:rPr>
                <w:b/>
                <w:bCs/>
              </w:rPr>
              <w:t>Kč)</w:t>
            </w:r>
          </w:p>
        </w:tc>
      </w:tr>
      <w:tr w:rsidR="00C55712" w:rsidRPr="00DA5F41" w14:paraId="15B5DD84" w14:textId="77777777" w:rsidTr="00247E2B">
        <w:trPr>
          <w:trHeight w:val="611"/>
        </w:trPr>
        <w:tc>
          <w:tcPr>
            <w:tcW w:w="4531" w:type="dxa"/>
            <w:vAlign w:val="center"/>
          </w:tcPr>
          <w:p w14:paraId="6B9C959B" w14:textId="77777777" w:rsidR="00C55712" w:rsidRPr="00DA5F41" w:rsidRDefault="00C55712" w:rsidP="00247E2B">
            <w:r w:rsidRPr="00DA5F41">
              <w:t>Pohledávky nezajištěné</w:t>
            </w:r>
          </w:p>
        </w:tc>
        <w:tc>
          <w:tcPr>
            <w:tcW w:w="4531" w:type="dxa"/>
            <w:vAlign w:val="center"/>
          </w:tcPr>
          <w:p w14:paraId="71243944" w14:textId="77777777" w:rsidR="00C55712" w:rsidRPr="00DA5F41" w:rsidRDefault="00C55712" w:rsidP="00247E2B">
            <w:pPr>
              <w:jc w:val="center"/>
            </w:pPr>
            <w:r w:rsidRPr="002E092A">
              <w:t>974 483</w:t>
            </w:r>
            <w:r>
              <w:t> </w:t>
            </w:r>
            <w:r w:rsidRPr="002E092A">
              <w:t>047</w:t>
            </w:r>
            <w:r>
              <w:t>,</w:t>
            </w:r>
            <w:r w:rsidRPr="002E092A">
              <w:t>15</w:t>
            </w:r>
          </w:p>
        </w:tc>
      </w:tr>
      <w:tr w:rsidR="00C55712" w:rsidRPr="00DA5F41" w14:paraId="39734C76" w14:textId="77777777" w:rsidTr="00247E2B">
        <w:trPr>
          <w:trHeight w:val="611"/>
        </w:trPr>
        <w:tc>
          <w:tcPr>
            <w:tcW w:w="4531" w:type="dxa"/>
            <w:vAlign w:val="center"/>
          </w:tcPr>
          <w:p w14:paraId="7CFFD582" w14:textId="77777777" w:rsidR="00C55712" w:rsidRPr="00DA5F41" w:rsidRDefault="00C55712" w:rsidP="00247E2B">
            <w:r w:rsidRPr="00DA5F41">
              <w:t>Pohledávky zajištěné</w:t>
            </w:r>
          </w:p>
        </w:tc>
        <w:tc>
          <w:tcPr>
            <w:tcW w:w="4531" w:type="dxa"/>
            <w:vAlign w:val="center"/>
          </w:tcPr>
          <w:p w14:paraId="7DAEE425" w14:textId="77777777" w:rsidR="00C55712" w:rsidRPr="00DA5F41" w:rsidRDefault="00C55712" w:rsidP="00247E2B">
            <w:pPr>
              <w:jc w:val="center"/>
            </w:pPr>
            <w:r w:rsidRPr="002E092A">
              <w:t>135 303</w:t>
            </w:r>
            <w:r>
              <w:t> </w:t>
            </w:r>
            <w:r w:rsidRPr="002E092A">
              <w:t>749</w:t>
            </w:r>
            <w:r>
              <w:t>,</w:t>
            </w:r>
            <w:r w:rsidRPr="002E092A">
              <w:t>78</w:t>
            </w:r>
          </w:p>
        </w:tc>
      </w:tr>
      <w:tr w:rsidR="00C55712" w:rsidRPr="00DA5F41" w14:paraId="4B1C37CE" w14:textId="77777777" w:rsidTr="00247E2B">
        <w:trPr>
          <w:trHeight w:val="611"/>
        </w:trPr>
        <w:tc>
          <w:tcPr>
            <w:tcW w:w="4531" w:type="dxa"/>
            <w:vAlign w:val="center"/>
          </w:tcPr>
          <w:p w14:paraId="17492FCC" w14:textId="77777777" w:rsidR="00C55712" w:rsidRPr="00DA5F41" w:rsidRDefault="00C55712" w:rsidP="00247E2B">
            <w:r>
              <w:t xml:space="preserve">Přihlášené pohledávky celkem </w:t>
            </w:r>
          </w:p>
        </w:tc>
        <w:tc>
          <w:tcPr>
            <w:tcW w:w="4531" w:type="dxa"/>
            <w:vAlign w:val="center"/>
          </w:tcPr>
          <w:p w14:paraId="6DBB7248" w14:textId="77777777" w:rsidR="00C55712" w:rsidRPr="00DA5F41" w:rsidRDefault="00C55712" w:rsidP="00247E2B">
            <w:pPr>
              <w:jc w:val="center"/>
            </w:pPr>
            <w:r>
              <w:t>1 109 786 796,93</w:t>
            </w:r>
          </w:p>
        </w:tc>
      </w:tr>
      <w:tr w:rsidR="00C55712" w:rsidRPr="00DA5F41" w14:paraId="5472F49D" w14:textId="77777777" w:rsidTr="00247E2B">
        <w:trPr>
          <w:trHeight w:val="611"/>
        </w:trPr>
        <w:tc>
          <w:tcPr>
            <w:tcW w:w="4531" w:type="dxa"/>
            <w:vAlign w:val="center"/>
          </w:tcPr>
          <w:p w14:paraId="1495B939" w14:textId="77777777" w:rsidR="00C55712" w:rsidRDefault="00C55712" w:rsidP="00247E2B">
            <w:r>
              <w:t>Nepodmíněné pohledávky</w:t>
            </w:r>
          </w:p>
        </w:tc>
        <w:tc>
          <w:tcPr>
            <w:tcW w:w="4531" w:type="dxa"/>
            <w:vAlign w:val="center"/>
          </w:tcPr>
          <w:p w14:paraId="4EEF7BF3" w14:textId="77777777" w:rsidR="00C55712" w:rsidRPr="00DA5F41" w:rsidRDefault="00C55712" w:rsidP="00247E2B">
            <w:pPr>
              <w:jc w:val="center"/>
            </w:pPr>
            <w:r>
              <w:t>1 109 786 796, 93</w:t>
            </w:r>
          </w:p>
        </w:tc>
      </w:tr>
      <w:tr w:rsidR="00C55712" w:rsidRPr="00DA5F41" w14:paraId="560BAF3E" w14:textId="77777777" w:rsidTr="00247E2B">
        <w:trPr>
          <w:trHeight w:val="611"/>
        </w:trPr>
        <w:tc>
          <w:tcPr>
            <w:tcW w:w="4531" w:type="dxa"/>
            <w:vAlign w:val="center"/>
          </w:tcPr>
          <w:p w14:paraId="591F14FC" w14:textId="77777777" w:rsidR="00C55712" w:rsidRDefault="00C55712" w:rsidP="00247E2B">
            <w:r>
              <w:t>Podmíněné pohledávky</w:t>
            </w:r>
          </w:p>
        </w:tc>
        <w:tc>
          <w:tcPr>
            <w:tcW w:w="4531" w:type="dxa"/>
            <w:vAlign w:val="center"/>
          </w:tcPr>
          <w:p w14:paraId="1874DB3F" w14:textId="77777777" w:rsidR="00C55712" w:rsidRDefault="00C55712" w:rsidP="00247E2B">
            <w:pPr>
              <w:jc w:val="center"/>
            </w:pPr>
            <w:r>
              <w:t>0</w:t>
            </w:r>
          </w:p>
        </w:tc>
      </w:tr>
    </w:tbl>
    <w:p w14:paraId="194EAF93" w14:textId="77777777" w:rsidR="00C55712" w:rsidRDefault="00C55712" w:rsidP="00C55712">
      <w:pPr>
        <w:jc w:val="both"/>
        <w:rPr>
          <w:rFonts w:ascii="Arial" w:hAnsi="Arial" w:cs="Arial"/>
          <w:sz w:val="22"/>
        </w:rPr>
      </w:pPr>
    </w:p>
    <w:p w14:paraId="7AB249E7" w14:textId="77777777" w:rsidR="00C55712" w:rsidRDefault="00C55712" w:rsidP="00C55712">
      <w:pPr>
        <w:jc w:val="both"/>
        <w:rPr>
          <w:rFonts w:ascii="Arial" w:hAnsi="Arial" w:cs="Arial"/>
          <w:sz w:val="22"/>
        </w:rPr>
      </w:pPr>
    </w:p>
    <w:p w14:paraId="7A9DE367" w14:textId="294975E2" w:rsidR="00C55712" w:rsidRPr="00C55712" w:rsidRDefault="00C55712" w:rsidP="00C55712">
      <w:pPr>
        <w:jc w:val="both"/>
        <w:rPr>
          <w:rFonts w:ascii="Arial" w:hAnsi="Arial" w:cs="Arial"/>
          <w:b/>
          <w:bCs/>
          <w:sz w:val="22"/>
        </w:rPr>
      </w:pPr>
      <w:r w:rsidRPr="00D66DBC">
        <w:rPr>
          <w:rFonts w:ascii="Arial" w:hAnsi="Arial" w:cs="Arial"/>
          <w:b/>
          <w:bCs/>
          <w:sz w:val="22"/>
        </w:rPr>
        <w:t>K bodu 4</w:t>
      </w:r>
      <w:r>
        <w:rPr>
          <w:rFonts w:ascii="Arial" w:hAnsi="Arial" w:cs="Arial"/>
          <w:b/>
          <w:bCs/>
          <w:sz w:val="22"/>
        </w:rPr>
        <w:t>:</w:t>
      </w:r>
    </w:p>
    <w:p w14:paraId="1629CE1F" w14:textId="023C210B" w:rsidR="00C55712" w:rsidRDefault="00C55712" w:rsidP="00C55712">
      <w:pPr>
        <w:jc w:val="both"/>
        <w:rPr>
          <w:rFonts w:ascii="Arial" w:hAnsi="Arial" w:cs="Arial"/>
          <w:sz w:val="22"/>
        </w:rPr>
      </w:pPr>
      <w:r w:rsidRPr="00D66DBC">
        <w:rPr>
          <w:rFonts w:ascii="Arial" w:hAnsi="Arial" w:cs="Arial"/>
          <w:sz w:val="22"/>
        </w:rPr>
        <w:t>Správce daně obecně aktivně nevystupuje ve věřitelských orgánech a neuchází se o </w:t>
      </w:r>
      <w:r>
        <w:rPr>
          <w:rFonts w:ascii="Arial" w:hAnsi="Arial" w:cs="Arial"/>
          <w:sz w:val="22"/>
        </w:rPr>
        <w:t>členství</w:t>
      </w:r>
      <w:r w:rsidRPr="00D66DBC">
        <w:rPr>
          <w:rFonts w:ascii="Arial" w:hAnsi="Arial" w:cs="Arial"/>
          <w:sz w:val="22"/>
        </w:rPr>
        <w:t xml:space="preserve"> ve věřitelském výboru nebo</w:t>
      </w:r>
      <w:r>
        <w:rPr>
          <w:rFonts w:ascii="Arial" w:hAnsi="Arial" w:cs="Arial"/>
          <w:sz w:val="22"/>
        </w:rPr>
        <w:t xml:space="preserve"> o funkci </w:t>
      </w:r>
      <w:r w:rsidRPr="00D66DBC">
        <w:rPr>
          <w:rFonts w:ascii="Arial" w:hAnsi="Arial" w:cs="Arial"/>
          <w:sz w:val="22"/>
        </w:rPr>
        <w:t>zástupce věřitelů. Aktivněji vystupuj</w:t>
      </w:r>
      <w:r>
        <w:rPr>
          <w:rFonts w:ascii="Arial" w:hAnsi="Arial" w:cs="Arial"/>
          <w:sz w:val="22"/>
        </w:rPr>
        <w:t>e</w:t>
      </w:r>
      <w:r w:rsidRPr="00D66DBC">
        <w:rPr>
          <w:rFonts w:ascii="Arial" w:hAnsi="Arial" w:cs="Arial"/>
          <w:sz w:val="22"/>
        </w:rPr>
        <w:t>, případně se uchází o funkci ve věřitelském výboru, ve vybraných případech prodeje zajištěného majetku, případně pokud</w:t>
      </w:r>
      <w:r>
        <w:rPr>
          <w:rFonts w:ascii="Arial" w:hAnsi="Arial" w:cs="Arial"/>
          <w:sz w:val="22"/>
        </w:rPr>
        <w:t xml:space="preserve"> disponuje</w:t>
      </w:r>
      <w:r w:rsidRPr="00D66DBC">
        <w:rPr>
          <w:rFonts w:ascii="Arial" w:hAnsi="Arial" w:cs="Arial"/>
          <w:sz w:val="22"/>
        </w:rPr>
        <w:t xml:space="preserve"> informac</w:t>
      </w:r>
      <w:r>
        <w:rPr>
          <w:rFonts w:ascii="Arial" w:hAnsi="Arial" w:cs="Arial"/>
          <w:sz w:val="22"/>
        </w:rPr>
        <w:t>emi</w:t>
      </w:r>
      <w:r w:rsidRPr="00D66DBC">
        <w:rPr>
          <w:rFonts w:ascii="Arial" w:hAnsi="Arial" w:cs="Arial"/>
          <w:sz w:val="22"/>
        </w:rPr>
        <w:t xml:space="preserve">, které mohou osvědčit zkrácení majetkové podstaty odporovatelným úkonem, pokud byla daňová pohledávka zajištěna zajišťovacím příkazem, anebo pokud pro to má správce daně jiné důvody zvláštního zřetele hodné. Shora uvedené tedy není navázáno na konkrétní výši daňového pohledávky, ale na skutečnost, zda správce daně může svým aktivním vystupováním ovlivnit úhradu přihlášené pohledávky v jeho prospěch. </w:t>
      </w:r>
    </w:p>
    <w:p w14:paraId="57CC507A" w14:textId="12A7A7BA" w:rsidR="00C55712" w:rsidRDefault="00C55712" w:rsidP="00C55712">
      <w:pPr>
        <w:jc w:val="both"/>
        <w:rPr>
          <w:rFonts w:ascii="Arial" w:hAnsi="Arial" w:cs="Arial"/>
          <w:b/>
          <w:bCs/>
          <w:sz w:val="22"/>
        </w:rPr>
      </w:pPr>
      <w:r>
        <w:rPr>
          <w:rFonts w:ascii="Arial" w:hAnsi="Arial" w:cs="Arial"/>
          <w:b/>
          <w:bCs/>
          <w:sz w:val="22"/>
        </w:rPr>
        <w:t>K bodu 5:</w:t>
      </w:r>
    </w:p>
    <w:p w14:paraId="5571585C" w14:textId="77777777" w:rsidR="00C55712" w:rsidRPr="002E092A" w:rsidRDefault="00C55712" w:rsidP="00C55712">
      <w:pPr>
        <w:jc w:val="both"/>
        <w:rPr>
          <w:rFonts w:ascii="Arial" w:hAnsi="Arial" w:cs="Arial"/>
          <w:sz w:val="22"/>
        </w:rPr>
      </w:pPr>
      <w:r>
        <w:rPr>
          <w:rFonts w:ascii="Arial" w:hAnsi="Arial" w:cs="Arial"/>
          <w:sz w:val="22"/>
        </w:rPr>
        <w:t xml:space="preserve">Finanční úřad pro Jihomoravský kraj přihlásil pohledávky do 338 probíhajících insolvenčních řízení u právnických osob. </w:t>
      </w:r>
    </w:p>
    <w:p w14:paraId="7857A29A" w14:textId="77777777" w:rsidR="00C55712" w:rsidRDefault="00C55712" w:rsidP="00C55712">
      <w:pPr>
        <w:jc w:val="both"/>
        <w:rPr>
          <w:rFonts w:ascii="Arial" w:hAnsi="Arial" w:cs="Arial"/>
          <w:sz w:val="22"/>
        </w:rPr>
      </w:pPr>
    </w:p>
    <w:p w14:paraId="44DA4C48" w14:textId="77777777" w:rsidR="00C55712" w:rsidRPr="00C55712" w:rsidRDefault="00C55712" w:rsidP="00C55712">
      <w:pPr>
        <w:jc w:val="both"/>
        <w:rPr>
          <w:rFonts w:ascii="Arial" w:hAnsi="Arial" w:cs="Arial"/>
          <w:b/>
          <w:bCs/>
          <w:sz w:val="22"/>
        </w:rPr>
      </w:pPr>
    </w:p>
    <w:p w14:paraId="290D9064" w14:textId="77777777" w:rsidR="00C55712" w:rsidRDefault="00C55712" w:rsidP="00C55712">
      <w:pPr>
        <w:jc w:val="both"/>
        <w:rPr>
          <w:rFonts w:ascii="Arial" w:hAnsi="Arial" w:cs="Arial"/>
          <w:sz w:val="22"/>
        </w:rPr>
      </w:pPr>
    </w:p>
    <w:p w14:paraId="7F8B926D" w14:textId="77777777" w:rsidR="00C55712" w:rsidRDefault="00C55712" w:rsidP="00C55712">
      <w:pPr>
        <w:jc w:val="both"/>
        <w:rPr>
          <w:rFonts w:ascii="Arial" w:hAnsi="Arial" w:cs="Arial"/>
          <w:sz w:val="22"/>
        </w:rPr>
      </w:pPr>
    </w:p>
    <w:p w14:paraId="4B271D9B" w14:textId="77777777" w:rsidR="00C55712" w:rsidRPr="002066EC" w:rsidRDefault="00C55712" w:rsidP="002066EC">
      <w:pPr>
        <w:jc w:val="both"/>
        <w:rPr>
          <w:rFonts w:ascii="Arial" w:hAnsi="Arial" w:cs="Arial"/>
          <w:sz w:val="22"/>
        </w:rPr>
      </w:pPr>
    </w:p>
    <w:sectPr w:rsidR="00C55712" w:rsidRPr="002066EC" w:rsidSect="00D7685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3BE"/>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8538B7"/>
    <w:multiLevelType w:val="hybridMultilevel"/>
    <w:tmpl w:val="A0485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A06299"/>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2A6625"/>
    <w:multiLevelType w:val="hybridMultilevel"/>
    <w:tmpl w:val="89FE3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2E4E35"/>
    <w:multiLevelType w:val="hybridMultilevel"/>
    <w:tmpl w:val="845E7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E83ADC"/>
    <w:multiLevelType w:val="hybridMultilevel"/>
    <w:tmpl w:val="6FACA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760A9"/>
    <w:multiLevelType w:val="hybridMultilevel"/>
    <w:tmpl w:val="BE1E0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CB3CEE"/>
    <w:multiLevelType w:val="hybridMultilevel"/>
    <w:tmpl w:val="518AA2FA"/>
    <w:lvl w:ilvl="0" w:tplc="CF7EC75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9DA3067"/>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F936CB"/>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F77879"/>
    <w:multiLevelType w:val="hybridMultilevel"/>
    <w:tmpl w:val="593A89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32831132">
    <w:abstractNumId w:val="7"/>
  </w:num>
  <w:num w:numId="2" w16cid:durableId="76756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406096">
    <w:abstractNumId w:val="5"/>
  </w:num>
  <w:num w:numId="4" w16cid:durableId="819540274">
    <w:abstractNumId w:val="8"/>
  </w:num>
  <w:num w:numId="5" w16cid:durableId="1634796415">
    <w:abstractNumId w:val="0"/>
  </w:num>
  <w:num w:numId="6" w16cid:durableId="1266110720">
    <w:abstractNumId w:val="2"/>
  </w:num>
  <w:num w:numId="7" w16cid:durableId="604532780">
    <w:abstractNumId w:val="9"/>
  </w:num>
  <w:num w:numId="8" w16cid:durableId="502353652">
    <w:abstractNumId w:val="4"/>
  </w:num>
  <w:num w:numId="9" w16cid:durableId="1154175064">
    <w:abstractNumId w:val="6"/>
  </w:num>
  <w:num w:numId="10" w16cid:durableId="2103408458">
    <w:abstractNumId w:val="3"/>
  </w:num>
  <w:num w:numId="11" w16cid:durableId="65464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94A"/>
    <w:rsid w:val="0009170E"/>
    <w:rsid w:val="000A033C"/>
    <w:rsid w:val="000B051D"/>
    <w:rsid w:val="000C5C44"/>
    <w:rsid w:val="00110CC9"/>
    <w:rsid w:val="00110D93"/>
    <w:rsid w:val="00192B90"/>
    <w:rsid w:val="001A12C6"/>
    <w:rsid w:val="001B62D7"/>
    <w:rsid w:val="001C2F4C"/>
    <w:rsid w:val="001D0A57"/>
    <w:rsid w:val="001E4D24"/>
    <w:rsid w:val="002066EC"/>
    <w:rsid w:val="00230914"/>
    <w:rsid w:val="002401EA"/>
    <w:rsid w:val="002708E1"/>
    <w:rsid w:val="00282363"/>
    <w:rsid w:val="002A598E"/>
    <w:rsid w:val="002B68B8"/>
    <w:rsid w:val="002C3516"/>
    <w:rsid w:val="00307307"/>
    <w:rsid w:val="00344D1B"/>
    <w:rsid w:val="00346AA6"/>
    <w:rsid w:val="003643C6"/>
    <w:rsid w:val="003C14B0"/>
    <w:rsid w:val="003F1009"/>
    <w:rsid w:val="00472905"/>
    <w:rsid w:val="0049588D"/>
    <w:rsid w:val="004A7B61"/>
    <w:rsid w:val="004C480E"/>
    <w:rsid w:val="004F06C4"/>
    <w:rsid w:val="00515658"/>
    <w:rsid w:val="00532720"/>
    <w:rsid w:val="005A4C8E"/>
    <w:rsid w:val="006424FD"/>
    <w:rsid w:val="00713F06"/>
    <w:rsid w:val="00714CF4"/>
    <w:rsid w:val="00725261"/>
    <w:rsid w:val="00737C9D"/>
    <w:rsid w:val="007B3CEA"/>
    <w:rsid w:val="007B4A54"/>
    <w:rsid w:val="007F2D09"/>
    <w:rsid w:val="007F3D3A"/>
    <w:rsid w:val="00815300"/>
    <w:rsid w:val="008406D4"/>
    <w:rsid w:val="0086342E"/>
    <w:rsid w:val="00880165"/>
    <w:rsid w:val="0089534E"/>
    <w:rsid w:val="008E12EF"/>
    <w:rsid w:val="00932B75"/>
    <w:rsid w:val="00933345"/>
    <w:rsid w:val="00967AA7"/>
    <w:rsid w:val="009C294E"/>
    <w:rsid w:val="009E1F30"/>
    <w:rsid w:val="009E48BB"/>
    <w:rsid w:val="009F670F"/>
    <w:rsid w:val="00A25A21"/>
    <w:rsid w:val="00A3199A"/>
    <w:rsid w:val="00A95871"/>
    <w:rsid w:val="00AB2726"/>
    <w:rsid w:val="00AB66D6"/>
    <w:rsid w:val="00B71E91"/>
    <w:rsid w:val="00B81F51"/>
    <w:rsid w:val="00BA7E3D"/>
    <w:rsid w:val="00BB17E4"/>
    <w:rsid w:val="00BB5D59"/>
    <w:rsid w:val="00C10945"/>
    <w:rsid w:val="00C46A53"/>
    <w:rsid w:val="00C55712"/>
    <w:rsid w:val="00C6154B"/>
    <w:rsid w:val="00CA64B8"/>
    <w:rsid w:val="00CF2677"/>
    <w:rsid w:val="00CF594A"/>
    <w:rsid w:val="00CF7408"/>
    <w:rsid w:val="00D20FB6"/>
    <w:rsid w:val="00D33CDF"/>
    <w:rsid w:val="00D610DA"/>
    <w:rsid w:val="00D62D38"/>
    <w:rsid w:val="00D7685C"/>
    <w:rsid w:val="00DE08FB"/>
    <w:rsid w:val="00EE4A57"/>
    <w:rsid w:val="00F541D6"/>
    <w:rsid w:val="00F57E92"/>
    <w:rsid w:val="00F728FE"/>
    <w:rsid w:val="00F90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BB53"/>
  <w15:docId w15:val="{D02F5EC4-D2AE-41E0-A637-A3AD30B4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2B90"/>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2B90"/>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192B90"/>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532720"/>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532720"/>
    <w:rPr>
      <w:rFonts w:ascii="Calibri" w:eastAsia="Calibri" w:hAnsi="Calibri" w:cs="Times New Roman"/>
      <w:szCs w:val="21"/>
    </w:rPr>
  </w:style>
  <w:style w:type="paragraph" w:styleId="Zhlav">
    <w:name w:val="header"/>
    <w:basedOn w:val="Normln"/>
    <w:link w:val="ZhlavChar"/>
    <w:rsid w:val="002401EA"/>
    <w:pPr>
      <w:tabs>
        <w:tab w:val="center" w:pos="4536"/>
        <w:tab w:val="right" w:pos="9072"/>
      </w:tabs>
      <w:spacing w:after="0" w:line="240" w:lineRule="auto"/>
    </w:pPr>
    <w:rPr>
      <w:rFonts w:ascii="Arial" w:eastAsia="Times New Roman" w:hAnsi="Arial" w:cs="Arial"/>
      <w:sz w:val="22"/>
      <w:lang w:eastAsia="cs-CZ"/>
    </w:rPr>
  </w:style>
  <w:style w:type="character" w:customStyle="1" w:styleId="ZhlavChar">
    <w:name w:val="Záhlaví Char"/>
    <w:basedOn w:val="Standardnpsmoodstavce"/>
    <w:link w:val="Zhlav"/>
    <w:rsid w:val="002401EA"/>
    <w:rPr>
      <w:rFonts w:ascii="Arial" w:eastAsia="Times New Roman" w:hAnsi="Arial" w:cs="Arial"/>
      <w:lang w:eastAsia="cs-CZ"/>
    </w:rPr>
  </w:style>
  <w:style w:type="paragraph" w:styleId="Normlnweb">
    <w:name w:val="Normal (Web)"/>
    <w:basedOn w:val="Normln"/>
    <w:rsid w:val="00714CF4"/>
    <w:pPr>
      <w:spacing w:before="100" w:beforeAutospacing="1" w:after="100" w:afterAutospacing="1" w:line="240" w:lineRule="auto"/>
    </w:pPr>
    <w:rPr>
      <w:rFonts w:eastAsia="Times New Roman"/>
      <w:szCs w:val="24"/>
      <w:lang w:eastAsia="cs-CZ"/>
    </w:rPr>
  </w:style>
  <w:style w:type="character" w:styleId="Hypertextovodkaz">
    <w:name w:val="Hyperlink"/>
    <w:rsid w:val="00F541D6"/>
    <w:rPr>
      <w:color w:val="0000FF"/>
      <w:u w:val="single"/>
    </w:rPr>
  </w:style>
  <w:style w:type="paragraph" w:styleId="Odstavecseseznamem">
    <w:name w:val="List Paragraph"/>
    <w:basedOn w:val="Normln"/>
    <w:uiPriority w:val="34"/>
    <w:qFormat/>
    <w:rsid w:val="007F3D3A"/>
    <w:pPr>
      <w:spacing w:after="0" w:line="240" w:lineRule="auto"/>
      <w:ind w:left="720"/>
      <w:contextualSpacing/>
    </w:pPr>
    <w:rPr>
      <w:rFonts w:eastAsia="Times New Roman"/>
      <w:szCs w:val="24"/>
      <w:lang w:eastAsia="cs-CZ"/>
    </w:rPr>
  </w:style>
  <w:style w:type="table" w:styleId="Mkatabulky">
    <w:name w:val="Table Grid"/>
    <w:basedOn w:val="Normlntabulka"/>
    <w:uiPriority w:val="39"/>
    <w:rsid w:val="00D768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rsid w:val="002C351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13385">
      <w:bodyDiv w:val="1"/>
      <w:marLeft w:val="0"/>
      <w:marRight w:val="0"/>
      <w:marTop w:val="0"/>
      <w:marBottom w:val="0"/>
      <w:divBdr>
        <w:top w:val="none" w:sz="0" w:space="0" w:color="auto"/>
        <w:left w:val="none" w:sz="0" w:space="0" w:color="auto"/>
        <w:bottom w:val="none" w:sz="0" w:space="0" w:color="auto"/>
        <w:right w:val="none" w:sz="0" w:space="0" w:color="auto"/>
      </w:divBdr>
    </w:div>
    <w:div w:id="549876922">
      <w:bodyDiv w:val="1"/>
      <w:marLeft w:val="0"/>
      <w:marRight w:val="0"/>
      <w:marTop w:val="0"/>
      <w:marBottom w:val="0"/>
      <w:divBdr>
        <w:top w:val="none" w:sz="0" w:space="0" w:color="auto"/>
        <w:left w:val="none" w:sz="0" w:space="0" w:color="auto"/>
        <w:bottom w:val="none" w:sz="0" w:space="0" w:color="auto"/>
        <w:right w:val="none" w:sz="0" w:space="0" w:color="auto"/>
      </w:divBdr>
    </w:div>
    <w:div w:id="573509857">
      <w:bodyDiv w:val="1"/>
      <w:marLeft w:val="0"/>
      <w:marRight w:val="0"/>
      <w:marTop w:val="0"/>
      <w:marBottom w:val="0"/>
      <w:divBdr>
        <w:top w:val="none" w:sz="0" w:space="0" w:color="auto"/>
        <w:left w:val="none" w:sz="0" w:space="0" w:color="auto"/>
        <w:bottom w:val="none" w:sz="0" w:space="0" w:color="auto"/>
        <w:right w:val="none" w:sz="0" w:space="0" w:color="auto"/>
      </w:divBdr>
    </w:div>
    <w:div w:id="855533530">
      <w:bodyDiv w:val="1"/>
      <w:marLeft w:val="0"/>
      <w:marRight w:val="0"/>
      <w:marTop w:val="0"/>
      <w:marBottom w:val="0"/>
      <w:divBdr>
        <w:top w:val="none" w:sz="0" w:space="0" w:color="auto"/>
        <w:left w:val="none" w:sz="0" w:space="0" w:color="auto"/>
        <w:bottom w:val="none" w:sz="0" w:space="0" w:color="auto"/>
        <w:right w:val="none" w:sz="0" w:space="0" w:color="auto"/>
      </w:divBdr>
    </w:div>
    <w:div w:id="1468670327">
      <w:bodyDiv w:val="1"/>
      <w:marLeft w:val="0"/>
      <w:marRight w:val="0"/>
      <w:marTop w:val="0"/>
      <w:marBottom w:val="0"/>
      <w:divBdr>
        <w:top w:val="none" w:sz="0" w:space="0" w:color="auto"/>
        <w:left w:val="none" w:sz="0" w:space="0" w:color="auto"/>
        <w:bottom w:val="none" w:sz="0" w:space="0" w:color="auto"/>
        <w:right w:val="none" w:sz="0" w:space="0" w:color="auto"/>
      </w:divBdr>
    </w:div>
    <w:div w:id="1915314736">
      <w:bodyDiv w:val="1"/>
      <w:marLeft w:val="0"/>
      <w:marRight w:val="0"/>
      <w:marTop w:val="0"/>
      <w:marBottom w:val="0"/>
      <w:divBdr>
        <w:top w:val="none" w:sz="0" w:space="0" w:color="auto"/>
        <w:left w:val="none" w:sz="0" w:space="0" w:color="auto"/>
        <w:bottom w:val="none" w:sz="0" w:space="0" w:color="auto"/>
        <w:right w:val="none" w:sz="0" w:space="0" w:color="auto"/>
      </w:divBdr>
    </w:div>
    <w:div w:id="2047558151">
      <w:bodyDiv w:val="1"/>
      <w:marLeft w:val="0"/>
      <w:marRight w:val="0"/>
      <w:marTop w:val="0"/>
      <w:marBottom w:val="0"/>
      <w:divBdr>
        <w:top w:val="none" w:sz="0" w:space="0" w:color="auto"/>
        <w:left w:val="none" w:sz="0" w:space="0" w:color="auto"/>
        <w:bottom w:val="none" w:sz="0" w:space="0" w:color="auto"/>
        <w:right w:val="none" w:sz="0" w:space="0" w:color="auto"/>
      </w:divBdr>
    </w:div>
    <w:div w:id="20570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9FE8-D4CC-4DAC-8386-B4A1FED6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440</Words>
  <Characters>2596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Finanční ředitelství v Brně</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Burdík Petr Mgr. (FÚ pro Jihomoravský kraj)</dc:creator>
  <cp:lastModifiedBy>Menšíková Bohdana Mgr. (FÚ pro Jihomoravský kraj)</cp:lastModifiedBy>
  <cp:revision>41</cp:revision>
  <cp:lastPrinted>2015-03-09T10:55:00Z</cp:lastPrinted>
  <dcterms:created xsi:type="dcterms:W3CDTF">2016-03-08T05:43:00Z</dcterms:created>
  <dcterms:modified xsi:type="dcterms:W3CDTF">2023-05-23T08:50:00Z</dcterms:modified>
</cp:coreProperties>
</file>