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26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230914">
        <w:rPr>
          <w:rFonts w:ascii="Arial" w:hAnsi="Arial" w:cs="Arial"/>
          <w:sz w:val="22"/>
        </w:rPr>
        <w:t>7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544FB8" w:rsidRDefault="00544FB8" w:rsidP="00544FB8">
      <w:pPr>
        <w:jc w:val="both"/>
        <w:rPr>
          <w:rFonts w:ascii="Arial" w:hAnsi="Arial" w:cs="Arial"/>
          <w:i/>
          <w:sz w:val="22"/>
        </w:rPr>
      </w:pPr>
      <w:r>
        <w:rPr>
          <w:rFonts w:ascii="Arial" w:eastAsia="Times New Roman" w:hAnsi="Arial" w:cs="Arial"/>
          <w:i/>
          <w:sz w:val="22"/>
          <w:lang w:eastAsia="cs-CZ"/>
        </w:rPr>
        <w:t>„</w:t>
      </w:r>
      <w:r w:rsidRPr="003A3F30">
        <w:rPr>
          <w:rFonts w:ascii="Arial" w:hAnsi="Arial" w:cs="Arial"/>
          <w:i/>
          <w:sz w:val="22"/>
        </w:rPr>
        <w:t>Přímé daně majetkové daně z nemovitostí (vlastním nemovitost) z pozemků ze staveb</w:t>
      </w:r>
      <w:r>
        <w:rPr>
          <w:rFonts w:ascii="Arial" w:hAnsi="Arial" w:cs="Arial"/>
          <w:i/>
          <w:sz w:val="22"/>
        </w:rPr>
        <w:t xml:space="preserve"> </w:t>
      </w:r>
      <w:r w:rsidRPr="003A3F30">
        <w:rPr>
          <w:rFonts w:ascii="Arial" w:hAnsi="Arial" w:cs="Arial"/>
          <w:i/>
          <w:sz w:val="22"/>
        </w:rPr>
        <w:t>daně převodové dědická darovací (zdědím nebo mi někdo daruje nemovitost) p.</w:t>
      </w:r>
      <w:r>
        <w:rPr>
          <w:rFonts w:ascii="Arial" w:hAnsi="Arial" w:cs="Arial"/>
          <w:i/>
          <w:sz w:val="22"/>
        </w:rPr>
        <w:t xml:space="preserve"> </w:t>
      </w:r>
      <w:r w:rsidRPr="003A3F30">
        <w:rPr>
          <w:rFonts w:ascii="Arial" w:hAnsi="Arial" w:cs="Arial"/>
          <w:i/>
          <w:sz w:val="22"/>
        </w:rPr>
        <w:t>nemovitosti – žádám o sdělení příslušného právního předpisu k uvedeným druhů</w:t>
      </w:r>
      <w:r>
        <w:rPr>
          <w:rFonts w:ascii="Arial" w:hAnsi="Arial" w:cs="Arial"/>
          <w:i/>
          <w:sz w:val="22"/>
        </w:rPr>
        <w:t>m</w:t>
      </w:r>
      <w:r w:rsidRPr="003A3F30">
        <w:rPr>
          <w:rFonts w:ascii="Arial" w:hAnsi="Arial" w:cs="Arial"/>
          <w:i/>
          <w:sz w:val="22"/>
        </w:rPr>
        <w:t xml:space="preserve"> daně –</w:t>
      </w:r>
      <w:r>
        <w:rPr>
          <w:rFonts w:ascii="Arial" w:hAnsi="Arial" w:cs="Arial"/>
          <w:i/>
          <w:sz w:val="22"/>
        </w:rPr>
        <w:t xml:space="preserve"> </w:t>
      </w:r>
      <w:r w:rsidRPr="003A3F30">
        <w:rPr>
          <w:rFonts w:ascii="Arial" w:hAnsi="Arial" w:cs="Arial"/>
          <w:i/>
          <w:sz w:val="22"/>
        </w:rPr>
        <w:t>přiznání se podávají za jaké zdaňovací období - jak vypadají formuláře, tiskopisy, jaký</w:t>
      </w:r>
      <w:r>
        <w:rPr>
          <w:rFonts w:ascii="Arial" w:hAnsi="Arial" w:cs="Arial"/>
          <w:i/>
          <w:sz w:val="22"/>
        </w:rPr>
        <w:t xml:space="preserve"> </w:t>
      </w:r>
      <w:r w:rsidRPr="003A3F30">
        <w:rPr>
          <w:rFonts w:ascii="Arial" w:hAnsi="Arial" w:cs="Arial"/>
          <w:i/>
          <w:sz w:val="22"/>
        </w:rPr>
        <w:t>počet listů, příloh obsahují jednotlivé druhy daně - žádám o poskytnutí odkazu pro</w:t>
      </w:r>
      <w:r>
        <w:rPr>
          <w:rFonts w:ascii="Arial" w:hAnsi="Arial" w:cs="Arial"/>
          <w:i/>
          <w:sz w:val="22"/>
        </w:rPr>
        <w:t xml:space="preserve"> </w:t>
      </w:r>
      <w:r w:rsidRPr="003A3F30">
        <w:rPr>
          <w:rFonts w:ascii="Arial" w:hAnsi="Arial" w:cs="Arial"/>
          <w:i/>
          <w:sz w:val="22"/>
        </w:rPr>
        <w:t>jednotlivé druhy daně, kde si mohu formuláře stáhnout jako počítačový elektronický soubor</w:t>
      </w:r>
      <w:r>
        <w:rPr>
          <w:rFonts w:ascii="Arial" w:hAnsi="Arial" w:cs="Arial"/>
          <w:i/>
          <w:sz w:val="22"/>
        </w:rPr>
        <w:t>.“</w:t>
      </w:r>
    </w:p>
    <w:p w:rsidR="00230914" w:rsidRPr="00515658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:rsidR="00A25A21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544FB8" w:rsidRPr="003A3F30" w:rsidRDefault="00544FB8" w:rsidP="00544FB8">
      <w:pPr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K dani z nemovitých věcí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Daň se stanovuje na základě zákona č. 338/1992 Sb., o dani z nemovitých věcí, ve znění pozdějších předpisů; zákon je rozdělen mimo jiné na část daně z pozemků (§ 2 - § 6) a část daně ze staveb a jednotek (§ 7 - § 11a), pro každou část je zvlášť definováno určení předmětu daně, poplatníka daně, základu daně a sazeb daně.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 xml:space="preserve">Zdaňovacím obdobím je kalendářní rok (§ 12c), přiznání se podává do 31. ledna zdaňovacího období (§13a odst. 1), tedy na aktuální zdaňovací </w:t>
      </w:r>
      <w:proofErr w:type="gramStart"/>
      <w:r w:rsidRPr="003A3F30">
        <w:rPr>
          <w:rFonts w:ascii="Arial" w:hAnsi="Arial" w:cs="Arial"/>
          <w:sz w:val="22"/>
        </w:rPr>
        <w:t>obdob</w:t>
      </w:r>
      <w:proofErr w:type="gramEnd"/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 xml:space="preserve">Aktuální tiskopis daňového přiznání k dani z nemovitých věcí ve formátu PDF včetně všech příloh a pokynů najdete na adrese </w:t>
      </w:r>
      <w:hyperlink r:id="rId6" w:history="1">
        <w:r w:rsidRPr="003A3F30">
          <w:rPr>
            <w:rStyle w:val="Hypertextovodkaz"/>
            <w:rFonts w:ascii="Arial" w:hAnsi="Arial" w:cs="Arial"/>
            <w:sz w:val="22"/>
          </w:rPr>
          <w:t>https://www.financnisprava.cz/cs/danove-tiskopisy/databaze-aktualnich-danovych-tiskopisu?rok=2021&amp;tiskdruh=TDFU&amp;dan=T_WEB06</w:t>
        </w:r>
      </w:hyperlink>
      <w:r w:rsidRPr="003A3F30">
        <w:rPr>
          <w:rFonts w:ascii="Arial" w:hAnsi="Arial" w:cs="Arial"/>
          <w:sz w:val="22"/>
        </w:rPr>
        <w:t xml:space="preserve">, kde najdete i odkaz na interaktivní tiskopis na daňovém portále. 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 xml:space="preserve">Obecně veškerá podání pro Finanční správu k elektronickému vyplnění najdete na </w:t>
      </w:r>
      <w:hyperlink r:id="rId7" w:history="1">
        <w:r w:rsidRPr="003A3F30">
          <w:rPr>
            <w:rStyle w:val="Hypertextovodkaz"/>
            <w:rFonts w:ascii="Arial" w:hAnsi="Arial" w:cs="Arial"/>
            <w:sz w:val="22"/>
          </w:rPr>
          <w:t>https://adisspr.mfcr.cz/pmd/home</w:t>
        </w:r>
      </w:hyperlink>
      <w:r w:rsidRPr="003A3F30">
        <w:rPr>
          <w:rFonts w:ascii="Arial" w:hAnsi="Arial" w:cs="Arial"/>
          <w:sz w:val="22"/>
        </w:rPr>
        <w:t xml:space="preserve"> nebo </w:t>
      </w:r>
      <w:hyperlink r:id="rId8" w:history="1">
        <w:r w:rsidRPr="003A3F30">
          <w:rPr>
            <w:rStyle w:val="Hypertextovodkaz"/>
            <w:rFonts w:ascii="Arial" w:hAnsi="Arial" w:cs="Arial"/>
            <w:sz w:val="22"/>
          </w:rPr>
          <w:t>www.daneelektronicky.cz</w:t>
        </w:r>
      </w:hyperlink>
      <w:r w:rsidRPr="003A3F30">
        <w:rPr>
          <w:rFonts w:ascii="Arial" w:hAnsi="Arial" w:cs="Arial"/>
          <w:sz w:val="22"/>
        </w:rPr>
        <w:t xml:space="preserve"> </w:t>
      </w:r>
    </w:p>
    <w:p w:rsidR="00544FB8" w:rsidRPr="003A28CB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Počet listů přiznání k dani z nemovitých věcí závisí na množství přiznávaných nemovitých věcí, standartní tiskopis bez dalších listů a jejich příloh má 4 strany (2 listy)</w:t>
      </w:r>
      <w:r>
        <w:rPr>
          <w:rFonts w:ascii="Arial" w:hAnsi="Arial" w:cs="Arial"/>
          <w:sz w:val="22"/>
        </w:rPr>
        <w:t>.</w:t>
      </w:r>
    </w:p>
    <w:p w:rsidR="00544FB8" w:rsidRPr="003A3F30" w:rsidRDefault="00544FB8" w:rsidP="00544FB8">
      <w:pPr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K dani dědické a dani darovací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Šlo o daně stanovené zákonem č. 357/1992 Sb., o dani dědické, dani darovací a dani z převodu nemovitostí, ve znění pozdějších předpisů. Zákon byl zrušen zákonným opatřením Senátu č. 340/2013 Sb., o dani z nabytí nemovitých věcí s účinností od 1. 1. 2014.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>Daň dědická nebo daň darovací se aktuálně vybírá jen v případě, kdy daňové povinnosti vznikly před 1. 1. 2014 (např. v případě úmrtí zůstavitele v letech 1993 – 2013, pokud usnesení soudu nabylo právní moci teprve nyní, a podobně).</w:t>
      </w:r>
    </w:p>
    <w:p w:rsidR="00544FB8" w:rsidRPr="003A3F30" w:rsidRDefault="00544FB8" w:rsidP="00544FB8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</w:rPr>
      </w:pPr>
      <w:r w:rsidRPr="003A3F30">
        <w:rPr>
          <w:rFonts w:ascii="Arial" w:hAnsi="Arial" w:cs="Arial"/>
          <w:sz w:val="22"/>
        </w:rPr>
        <w:t xml:space="preserve">Aktuální tiskopis daňového přiznání k dani darovací a dani dědické ve formátu PDF včetně všech příloh a pokynů najdete na adrese: </w:t>
      </w:r>
      <w:hyperlink r:id="rId9" w:history="1">
        <w:r w:rsidRPr="003A3F30">
          <w:rPr>
            <w:rStyle w:val="Hypertextovodkaz"/>
            <w:rFonts w:ascii="Arial" w:hAnsi="Arial" w:cs="Arial"/>
            <w:sz w:val="22"/>
          </w:rPr>
          <w:t>https://www.financnisprava.cz/cs/danove-tiskopisy/databaze-aktualnich-danovych-tiskopisu?rok=2021&amp;tiskdruh=TDFU&amp;dan=T_WEB08</w:t>
        </w:r>
      </w:hyperlink>
      <w:r w:rsidRPr="003A3F30">
        <w:rPr>
          <w:rFonts w:ascii="Arial" w:hAnsi="Arial" w:cs="Arial"/>
          <w:sz w:val="22"/>
        </w:rPr>
        <w:t xml:space="preserve"> a </w:t>
      </w:r>
      <w:hyperlink r:id="rId10" w:history="1">
        <w:r w:rsidRPr="003A3F30">
          <w:rPr>
            <w:rStyle w:val="Hypertextovodkaz"/>
            <w:rFonts w:ascii="Arial" w:hAnsi="Arial" w:cs="Arial"/>
            <w:sz w:val="22"/>
          </w:rPr>
          <w:t>https://www.financnisprava.cz/cs/danove-tiskopisy/databaze-aktualnich-danovych-</w:t>
        </w:r>
        <w:r w:rsidRPr="003A3F30">
          <w:rPr>
            <w:rStyle w:val="Hypertextovodkaz"/>
            <w:rFonts w:ascii="Arial" w:hAnsi="Arial" w:cs="Arial"/>
            <w:sz w:val="22"/>
          </w:rPr>
          <w:lastRenderedPageBreak/>
          <w:t>tiskopisu?rok=2021&amp;tiskdruh=TDFU&amp;dan=T_WEB07</w:t>
        </w:r>
      </w:hyperlink>
      <w:r w:rsidRPr="003A3F30">
        <w:rPr>
          <w:rFonts w:ascii="Arial" w:hAnsi="Arial" w:cs="Arial"/>
          <w:sz w:val="22"/>
        </w:rPr>
        <w:t xml:space="preserve">; zde najdete i odkazy na interaktivní PDF (elektronický formulář na </w:t>
      </w:r>
      <w:hyperlink r:id="rId11" w:history="1">
        <w:r w:rsidRPr="003A3F30">
          <w:rPr>
            <w:rStyle w:val="Hypertextovodkaz"/>
            <w:rFonts w:ascii="Arial" w:hAnsi="Arial" w:cs="Arial"/>
            <w:sz w:val="22"/>
          </w:rPr>
          <w:t>https://adisspr.mfcr.cz/pmd/home</w:t>
        </w:r>
      </w:hyperlink>
      <w:r w:rsidRPr="003A3F30">
        <w:rPr>
          <w:rFonts w:ascii="Arial" w:hAnsi="Arial" w:cs="Arial"/>
          <w:sz w:val="22"/>
        </w:rPr>
        <w:t xml:space="preserve"> nebo </w:t>
      </w:r>
      <w:hyperlink r:id="rId12" w:history="1">
        <w:r w:rsidRPr="003A3F30">
          <w:rPr>
            <w:rStyle w:val="Hypertextovodkaz"/>
            <w:rFonts w:ascii="Arial" w:hAnsi="Arial" w:cs="Arial"/>
            <w:sz w:val="22"/>
          </w:rPr>
          <w:t>www.daneelektronicky.cz</w:t>
        </w:r>
      </w:hyperlink>
      <w:r w:rsidRPr="003A3F30">
        <w:rPr>
          <w:rFonts w:ascii="Arial" w:hAnsi="Arial" w:cs="Arial"/>
          <w:sz w:val="22"/>
        </w:rPr>
        <w:t xml:space="preserve"> pro daň dědickou a daň darovací k dispozici není).</w:t>
      </w:r>
    </w:p>
    <w:p w:rsidR="00230914" w:rsidRDefault="00230914" w:rsidP="00C10945">
      <w:pPr>
        <w:rPr>
          <w:rFonts w:ascii="Arial" w:hAnsi="Arial" w:cs="Arial"/>
          <w:sz w:val="22"/>
        </w:rPr>
      </w:pPr>
      <w:bookmarkStart w:id="0" w:name="_GoBack"/>
      <w:bookmarkEnd w:id="0"/>
    </w:p>
    <w:p w:rsidR="00230914" w:rsidRDefault="00230914" w:rsidP="00C10945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A1A"/>
    <w:multiLevelType w:val="hybridMultilevel"/>
    <w:tmpl w:val="8668B79C"/>
    <w:lvl w:ilvl="0" w:tplc="6BD087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82363"/>
    <w:rsid w:val="002A598E"/>
    <w:rsid w:val="00307307"/>
    <w:rsid w:val="00344D1B"/>
    <w:rsid w:val="003643C6"/>
    <w:rsid w:val="003C14B0"/>
    <w:rsid w:val="00472905"/>
    <w:rsid w:val="004A7B61"/>
    <w:rsid w:val="004C480E"/>
    <w:rsid w:val="004F06C4"/>
    <w:rsid w:val="00515658"/>
    <w:rsid w:val="00532720"/>
    <w:rsid w:val="00544FB8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elektroni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sspr.mfcr.cz/pmd/home" TargetMode="External"/><Relationship Id="rId12" Type="http://schemas.openxmlformats.org/officeDocument/2006/relationships/hyperlink" Target="http://www.daneelektroni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ancnisprava.cz/cs/danove-tiskopisy/databaze-aktualnich-danovych-tiskopisu?rok=2021&amp;tiskdruh=TDFU&amp;dan=T_WEB06" TargetMode="External"/><Relationship Id="rId11" Type="http://schemas.openxmlformats.org/officeDocument/2006/relationships/hyperlink" Target="https://adisspr.mfcr.cz/pmd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danove-tiskopisy/databaze-aktualnich-danovych-tiskopisu?rok=2021&amp;tiskdruh=TDFU&amp;dan=T_WEB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ove-tiskopisy/databaze-aktualnich-danovych-tiskopisu?rok=2021&amp;tiskdruh=TDFU&amp;dan=T_WEB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3C11-3052-4010-80A9-BB272EBB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27</cp:revision>
  <cp:lastPrinted>2015-03-09T10:55:00Z</cp:lastPrinted>
  <dcterms:created xsi:type="dcterms:W3CDTF">2016-03-08T05:43:00Z</dcterms:created>
  <dcterms:modified xsi:type="dcterms:W3CDTF">2021-07-26T12:53:00Z</dcterms:modified>
</cp:coreProperties>
</file>