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E4015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7E4015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7E4015">
        <w:rPr>
          <w:rFonts w:ascii="Arial" w:hAnsi="Arial" w:cs="Arial"/>
          <w:sz w:val="22"/>
        </w:rPr>
        <w:t>21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A25A21" w:rsidRPr="005A4C8E" w:rsidRDefault="007E4015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>„</w:t>
      </w:r>
      <w:r w:rsidRPr="007E4015">
        <w:rPr>
          <w:rFonts w:ascii="Arial" w:eastAsia="Times New Roman" w:hAnsi="Arial" w:cs="Arial"/>
          <w:sz w:val="22"/>
          <w:lang w:eastAsia="cs-CZ"/>
        </w:rPr>
        <w:t>Co se týče údajů požadovaných v této souvislosti po jednotlivých finančních úřadech a Odvolacím finančním ředitelství, jedná se o datum podání trestního oznámení, právní kvalifikaci skutku dle trestního zákoníku a výši způsobené škody, pokud to skutková podstata trestného činu vyžaduje. Tímto žádáme o zaslání těchto informací o podaných trestních oznámení, jakož i veškerých souvisejících podkladů, které jste v souvislosti s nimi GFŘ poskytli, to za roky 2017-2019. “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7E4015" w:rsidRPr="007E4015" w:rsidRDefault="007E4015" w:rsidP="007E401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E4015">
        <w:rPr>
          <w:rFonts w:ascii="Arial" w:hAnsi="Arial" w:cs="Arial"/>
          <w:sz w:val="22"/>
        </w:rPr>
        <w:t>Údaje za rok 2017</w:t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60"/>
        <w:gridCol w:w="1500"/>
        <w:gridCol w:w="1500"/>
      </w:tblGrid>
      <w:tr w:rsidR="007E4015" w:rsidRPr="007E4015" w:rsidTr="00F9057C">
        <w:trPr>
          <w:trHeight w:val="510"/>
        </w:trPr>
        <w:tc>
          <w:tcPr>
            <w:tcW w:w="680" w:type="dxa"/>
            <w:vMerge w:val="restart"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376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Podnět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případů předaných od poč. roku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Způsobená škoda v Kč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2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trestného činu zkrácení daně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798 083 879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jiného trestného činu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1 820 159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799 904 038</w:t>
            </w:r>
          </w:p>
        </w:tc>
      </w:tr>
    </w:tbl>
    <w:p w:rsidR="007E4015" w:rsidRPr="007E4015" w:rsidRDefault="007E4015" w:rsidP="007E4015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7E4015" w:rsidRPr="007E4015" w:rsidRDefault="007E4015" w:rsidP="007E4015">
      <w:pPr>
        <w:jc w:val="both"/>
        <w:rPr>
          <w:rFonts w:ascii="Arial" w:hAnsi="Arial" w:cs="Arial"/>
          <w:sz w:val="22"/>
        </w:rPr>
      </w:pPr>
    </w:p>
    <w:p w:rsidR="007E4015" w:rsidRPr="007E4015" w:rsidRDefault="007E4015" w:rsidP="007E401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E4015">
        <w:rPr>
          <w:rFonts w:ascii="Arial" w:hAnsi="Arial" w:cs="Arial"/>
          <w:sz w:val="22"/>
        </w:rPr>
        <w:t>Údaje za rok 2018</w:t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60"/>
        <w:gridCol w:w="1500"/>
        <w:gridCol w:w="1500"/>
      </w:tblGrid>
      <w:tr w:rsidR="007E4015" w:rsidRPr="007E4015" w:rsidTr="00F9057C">
        <w:trPr>
          <w:trHeight w:val="510"/>
        </w:trPr>
        <w:tc>
          <w:tcPr>
            <w:tcW w:w="680" w:type="dxa"/>
            <w:vMerge w:val="restart"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376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Podnět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případů předaných od poč. roku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Způsobená škoda v Kč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2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trestného činu zkrácení daně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863 050 196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jiného trestného činu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19 339 940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882 390 136</w:t>
            </w:r>
          </w:p>
        </w:tc>
      </w:tr>
    </w:tbl>
    <w:p w:rsidR="007E4015" w:rsidRPr="007E4015" w:rsidRDefault="007E4015" w:rsidP="007E4015">
      <w:pPr>
        <w:jc w:val="both"/>
        <w:rPr>
          <w:rFonts w:ascii="Arial" w:hAnsi="Arial" w:cs="Arial"/>
          <w:sz w:val="22"/>
        </w:rPr>
      </w:pPr>
    </w:p>
    <w:p w:rsidR="007E4015" w:rsidRPr="007E4015" w:rsidRDefault="007E4015" w:rsidP="007E401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2"/>
        </w:rPr>
      </w:pPr>
      <w:r w:rsidRPr="007E4015">
        <w:rPr>
          <w:rFonts w:ascii="Arial" w:hAnsi="Arial" w:cs="Arial"/>
          <w:sz w:val="22"/>
        </w:rPr>
        <w:t>Údaje za rok 2019</w:t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60"/>
        <w:gridCol w:w="1500"/>
        <w:gridCol w:w="1500"/>
      </w:tblGrid>
      <w:tr w:rsidR="007E4015" w:rsidRPr="007E4015" w:rsidTr="00F9057C">
        <w:trPr>
          <w:trHeight w:val="510"/>
        </w:trPr>
        <w:tc>
          <w:tcPr>
            <w:tcW w:w="680" w:type="dxa"/>
            <w:vMerge w:val="restart"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376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Podnět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Počet případů předaných od poč. roku</w:t>
            </w:r>
          </w:p>
        </w:tc>
        <w:tc>
          <w:tcPr>
            <w:tcW w:w="1500" w:type="dxa"/>
            <w:vMerge w:val="restart"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Způsobená škoda v Kč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vMerge/>
            <w:tcBorders>
              <w:top w:val="single" w:sz="8" w:space="0" w:color="4271FF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0" w:type="dxa"/>
            <w:vMerge/>
            <w:tcBorders>
              <w:top w:val="single" w:sz="8" w:space="0" w:color="4271FF"/>
              <w:left w:val="single" w:sz="8" w:space="0" w:color="4271FF"/>
              <w:bottom w:val="single" w:sz="8" w:space="0" w:color="4271FF"/>
              <w:right w:val="single" w:sz="8" w:space="0" w:color="4271FF"/>
            </w:tcBorders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sl. 2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trestného činu zkrácení daně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241 160 281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ohledně jiného trestného činu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271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6 339 769</w:t>
            </w:r>
          </w:p>
        </w:tc>
      </w:tr>
      <w:tr w:rsidR="007E4015" w:rsidRPr="007E4015" w:rsidTr="00F9057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4D70FF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4D70FF"/>
              <w:right w:val="single" w:sz="8" w:space="0" w:color="4271FF"/>
            </w:tcBorders>
            <w:shd w:val="clear" w:color="auto" w:fill="auto"/>
            <w:vAlign w:val="center"/>
            <w:hideMark/>
          </w:tcPr>
          <w:p w:rsidR="007E4015" w:rsidRPr="007E4015" w:rsidRDefault="007E4015" w:rsidP="007E40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E4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247 500 050</w:t>
            </w:r>
          </w:p>
        </w:tc>
      </w:tr>
    </w:tbl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30C18"/>
    <w:multiLevelType w:val="hybridMultilevel"/>
    <w:tmpl w:val="F4A64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E4015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7BC9-8D58-450A-BB52-B37CA959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2021-02-01T09:33:00Z</dcterms:modified>
</cp:coreProperties>
</file>