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90" w:rsidRPr="00D610DA" w:rsidRDefault="00192B90" w:rsidP="00192B90">
      <w:pPr>
        <w:pStyle w:val="Bezmezer"/>
        <w:rPr>
          <w:rFonts w:ascii="Arial" w:hAnsi="Arial" w:cs="Arial"/>
          <w:b/>
          <w:szCs w:val="24"/>
        </w:rPr>
      </w:pPr>
      <w:r w:rsidRPr="00D610DA">
        <w:rPr>
          <w:rFonts w:ascii="Arial" w:hAnsi="Arial" w:cs="Arial"/>
          <w:b/>
          <w:szCs w:val="24"/>
        </w:rPr>
        <w:t>FINANČNÍ ÚŘAD PRO JIHOMORAVSKÝ KRAJ</w:t>
      </w:r>
    </w:p>
    <w:p w:rsidR="003C14B0" w:rsidRDefault="00192B90" w:rsidP="00192B90">
      <w:pPr>
        <w:rPr>
          <w:rFonts w:ascii="Arial" w:hAnsi="Arial" w:cs="Arial"/>
          <w:sz w:val="22"/>
        </w:rPr>
      </w:pPr>
      <w:r w:rsidRPr="001D0A57">
        <w:rPr>
          <w:rFonts w:ascii="Arial" w:hAnsi="Arial" w:cs="Arial"/>
          <w:sz w:val="22"/>
        </w:rPr>
        <w:t>náměstí Svobody 4, 602 00 Brno</w:t>
      </w:r>
    </w:p>
    <w:p w:rsidR="00D20FB6" w:rsidRPr="001D0A57" w:rsidRDefault="00D20FB6" w:rsidP="00192B90">
      <w:pPr>
        <w:rPr>
          <w:rFonts w:ascii="Arial" w:hAnsi="Arial" w:cs="Arial"/>
          <w:sz w:val="22"/>
        </w:rPr>
      </w:pPr>
    </w:p>
    <w:p w:rsidR="00192B90" w:rsidRPr="00737C9D" w:rsidRDefault="00D33CDF" w:rsidP="003C14B0">
      <w:pPr>
        <w:jc w:val="right"/>
        <w:rPr>
          <w:rFonts w:ascii="Arial" w:hAnsi="Arial" w:cs="Arial"/>
          <w:sz w:val="22"/>
        </w:rPr>
      </w:pPr>
      <w:r w:rsidRPr="00737C9D">
        <w:rPr>
          <w:rFonts w:ascii="Arial" w:hAnsi="Arial" w:cs="Arial"/>
          <w:sz w:val="22"/>
        </w:rPr>
        <w:t xml:space="preserve">V Brně </w:t>
      </w:r>
      <w:r w:rsidR="003C14B0" w:rsidRPr="00737C9D">
        <w:rPr>
          <w:rFonts w:ascii="Arial" w:hAnsi="Arial" w:cs="Arial"/>
          <w:sz w:val="22"/>
        </w:rPr>
        <w:t xml:space="preserve">dne </w:t>
      </w:r>
      <w:r w:rsidR="00E04ECA">
        <w:rPr>
          <w:rFonts w:ascii="Arial" w:hAnsi="Arial" w:cs="Arial"/>
          <w:sz w:val="22"/>
        </w:rPr>
        <w:t>1. 2. 2021</w:t>
      </w:r>
    </w:p>
    <w:p w:rsidR="00D33CDF" w:rsidRPr="00737C9D" w:rsidRDefault="00D33CDF" w:rsidP="003C14B0">
      <w:pPr>
        <w:jc w:val="right"/>
        <w:rPr>
          <w:rFonts w:ascii="Arial" w:hAnsi="Arial" w:cs="Arial"/>
          <w:sz w:val="28"/>
          <w:szCs w:val="28"/>
        </w:rPr>
      </w:pPr>
    </w:p>
    <w:p w:rsidR="00192B90" w:rsidRPr="009F670F" w:rsidRDefault="003C14B0" w:rsidP="002A598E">
      <w:pPr>
        <w:spacing w:after="0"/>
        <w:jc w:val="both"/>
        <w:rPr>
          <w:rFonts w:ascii="Arial" w:hAnsi="Arial" w:cs="Arial"/>
          <w:sz w:val="22"/>
        </w:rPr>
      </w:pPr>
      <w:r w:rsidRPr="009F670F">
        <w:rPr>
          <w:rFonts w:ascii="Arial" w:hAnsi="Arial" w:cs="Arial"/>
          <w:sz w:val="22"/>
        </w:rPr>
        <w:t>Finanční úřad pro Jihomoravský kraj poskytl postupem podle zákona č. 106/1999 Sb., o</w:t>
      </w:r>
      <w:r w:rsidR="00110CC9" w:rsidRPr="009F670F">
        <w:rPr>
          <w:rFonts w:ascii="Arial" w:hAnsi="Arial" w:cs="Arial"/>
          <w:sz w:val="22"/>
        </w:rPr>
        <w:t> </w:t>
      </w:r>
      <w:r w:rsidRPr="009F670F">
        <w:rPr>
          <w:rFonts w:ascii="Arial" w:hAnsi="Arial" w:cs="Arial"/>
          <w:sz w:val="22"/>
        </w:rPr>
        <w:t>svobodném přístupu k informacím, ve znění pozdějších předpisů</w:t>
      </w:r>
      <w:r w:rsidR="001C2F4C" w:rsidRPr="009F670F">
        <w:rPr>
          <w:rFonts w:ascii="Arial" w:hAnsi="Arial" w:cs="Arial"/>
          <w:sz w:val="22"/>
        </w:rPr>
        <w:t xml:space="preserve"> (dále jen „InfZ“)</w:t>
      </w:r>
      <w:r w:rsidRPr="009F670F">
        <w:rPr>
          <w:rFonts w:ascii="Arial" w:hAnsi="Arial" w:cs="Arial"/>
          <w:sz w:val="22"/>
        </w:rPr>
        <w:t>, níže uvedené informace</w:t>
      </w:r>
      <w:r w:rsidR="00110CC9" w:rsidRPr="009F670F">
        <w:rPr>
          <w:rFonts w:ascii="Arial" w:hAnsi="Arial" w:cs="Arial"/>
          <w:sz w:val="22"/>
        </w:rPr>
        <w:t>.</w:t>
      </w:r>
    </w:p>
    <w:p w:rsidR="002A598E" w:rsidRPr="009F670F" w:rsidRDefault="002A598E" w:rsidP="002A598E">
      <w:pPr>
        <w:pStyle w:val="Default"/>
        <w:spacing w:line="276" w:lineRule="auto"/>
        <w:jc w:val="both"/>
        <w:rPr>
          <w:rFonts w:ascii="Arial" w:hAnsi="Arial" w:cs="Arial"/>
          <w:sz w:val="22"/>
          <w:szCs w:val="22"/>
        </w:rPr>
      </w:pPr>
    </w:p>
    <w:p w:rsidR="00A3199A" w:rsidRPr="00A3199A" w:rsidRDefault="00F541D6" w:rsidP="00A3199A">
      <w:pPr>
        <w:pBdr>
          <w:top w:val="single" w:sz="4" w:space="1" w:color="auto"/>
          <w:left w:val="single" w:sz="4" w:space="4" w:color="auto"/>
          <w:bottom w:val="single" w:sz="4" w:space="1" w:color="auto"/>
          <w:right w:val="single" w:sz="4" w:space="4" w:color="auto"/>
        </w:pBdr>
        <w:spacing w:after="0"/>
        <w:jc w:val="both"/>
        <w:rPr>
          <w:rFonts w:ascii="Arial" w:hAnsi="Arial" w:cs="Arial"/>
          <w:b/>
          <w:sz w:val="22"/>
        </w:rPr>
      </w:pPr>
      <w:r w:rsidRPr="009F670F">
        <w:rPr>
          <w:rFonts w:ascii="Arial" w:hAnsi="Arial" w:cs="Arial"/>
          <w:b/>
          <w:sz w:val="22"/>
        </w:rPr>
        <w:t>Žádostí byly po povinném subjektu požadovány tyto informace:</w:t>
      </w:r>
    </w:p>
    <w:p w:rsidR="00E04ECA" w:rsidRPr="00E04ECA" w:rsidRDefault="00E04ECA" w:rsidP="00E04ECA">
      <w:pPr>
        <w:autoSpaceDE w:val="0"/>
        <w:autoSpaceDN w:val="0"/>
        <w:adjustRightInd w:val="0"/>
        <w:spacing w:after="0" w:line="240" w:lineRule="auto"/>
        <w:contextualSpacing/>
        <w:jc w:val="both"/>
        <w:rPr>
          <w:rFonts w:ascii="Arial" w:eastAsia="Times New Roman" w:hAnsi="Arial" w:cs="Arial"/>
          <w:sz w:val="22"/>
          <w:lang w:eastAsia="cs-CZ"/>
        </w:rPr>
      </w:pPr>
      <w:r>
        <w:rPr>
          <w:rFonts w:ascii="Arial" w:eastAsia="Times New Roman" w:hAnsi="Arial" w:cs="Arial"/>
          <w:sz w:val="22"/>
          <w:lang w:eastAsia="cs-CZ"/>
        </w:rPr>
        <w:t>1</w:t>
      </w:r>
      <w:r w:rsidRPr="00E04ECA">
        <w:rPr>
          <w:rFonts w:ascii="Arial" w:eastAsia="Times New Roman" w:hAnsi="Arial" w:cs="Arial"/>
          <w:sz w:val="22"/>
          <w:lang w:eastAsia="cs-CZ"/>
        </w:rPr>
        <w:t>) Kolik podnětu za jednotlivé měsíce leden – kveten 2020 bylo z důvodů možného neplnění výše uvedené povinnosti u Vašeho orgánu podáno?</w:t>
      </w:r>
    </w:p>
    <w:p w:rsidR="00E04ECA" w:rsidRPr="00E04ECA" w:rsidRDefault="00E04ECA" w:rsidP="00E04ECA">
      <w:pPr>
        <w:autoSpaceDE w:val="0"/>
        <w:autoSpaceDN w:val="0"/>
        <w:adjustRightInd w:val="0"/>
        <w:spacing w:after="0" w:line="240" w:lineRule="auto"/>
        <w:contextualSpacing/>
        <w:jc w:val="both"/>
        <w:rPr>
          <w:rFonts w:ascii="Arial" w:eastAsia="Times New Roman" w:hAnsi="Arial" w:cs="Arial"/>
          <w:sz w:val="22"/>
          <w:lang w:eastAsia="cs-CZ"/>
        </w:rPr>
      </w:pPr>
      <w:r w:rsidRPr="00E04ECA">
        <w:rPr>
          <w:rFonts w:ascii="Arial" w:eastAsia="Times New Roman" w:hAnsi="Arial" w:cs="Arial"/>
          <w:sz w:val="22"/>
          <w:lang w:eastAsia="cs-CZ"/>
        </w:rPr>
        <w:t>2) Jakým způsobem, v jakých lhůtách Váš orgán postupuje při prověřování těchto podnětů</w:t>
      </w:r>
    </w:p>
    <w:p w:rsidR="00E04ECA" w:rsidRPr="00E04ECA" w:rsidRDefault="00E04ECA" w:rsidP="00E04ECA">
      <w:pPr>
        <w:autoSpaceDE w:val="0"/>
        <w:autoSpaceDN w:val="0"/>
        <w:adjustRightInd w:val="0"/>
        <w:spacing w:after="0" w:line="240" w:lineRule="auto"/>
        <w:contextualSpacing/>
        <w:jc w:val="both"/>
        <w:rPr>
          <w:rFonts w:ascii="Arial" w:eastAsia="Times New Roman" w:hAnsi="Arial" w:cs="Arial"/>
          <w:sz w:val="22"/>
          <w:lang w:eastAsia="cs-CZ"/>
        </w:rPr>
      </w:pPr>
      <w:r w:rsidRPr="00E04ECA">
        <w:rPr>
          <w:rFonts w:ascii="Arial" w:eastAsia="Times New Roman" w:hAnsi="Arial" w:cs="Arial"/>
          <w:sz w:val="22"/>
          <w:lang w:eastAsia="cs-CZ"/>
        </w:rPr>
        <w:t>3) Jak dlouho z pravidla/průměrně trvá od přijetí podnětu k první výzvě Vašeho orgánu směřující ke sjednání nápravy vůči povinnému subjektu</w:t>
      </w:r>
    </w:p>
    <w:p w:rsidR="00E04ECA" w:rsidRPr="00E04ECA" w:rsidRDefault="00E04ECA" w:rsidP="00E04ECA">
      <w:pPr>
        <w:autoSpaceDE w:val="0"/>
        <w:autoSpaceDN w:val="0"/>
        <w:adjustRightInd w:val="0"/>
        <w:spacing w:after="0" w:line="240" w:lineRule="auto"/>
        <w:contextualSpacing/>
        <w:jc w:val="both"/>
        <w:rPr>
          <w:rFonts w:ascii="Arial" w:eastAsia="Times New Roman" w:hAnsi="Arial" w:cs="Arial"/>
          <w:sz w:val="22"/>
          <w:lang w:eastAsia="cs-CZ"/>
        </w:rPr>
      </w:pPr>
      <w:r w:rsidRPr="00E04ECA">
        <w:rPr>
          <w:rFonts w:ascii="Arial" w:eastAsia="Times New Roman" w:hAnsi="Arial" w:cs="Arial"/>
          <w:sz w:val="22"/>
          <w:lang w:eastAsia="cs-CZ"/>
        </w:rPr>
        <w:t>4) Pokud existovaly podněty dotazované v otázce 1, sdělte, zda v případě shledání důvodnosti podnětu bylo přistoupeno k uložení nápravného opatření, případně sankce a tuto specifikujte, případně uveďte, v jaké fázi se dané podněty nacházejí.</w:t>
      </w:r>
    </w:p>
    <w:p w:rsidR="00BB5D59" w:rsidRDefault="00E04ECA" w:rsidP="00E04ECA">
      <w:pPr>
        <w:autoSpaceDE w:val="0"/>
        <w:autoSpaceDN w:val="0"/>
        <w:adjustRightInd w:val="0"/>
        <w:spacing w:after="0" w:line="240" w:lineRule="auto"/>
        <w:contextualSpacing/>
        <w:jc w:val="both"/>
        <w:rPr>
          <w:rFonts w:ascii="Arial" w:eastAsia="Times New Roman" w:hAnsi="Arial" w:cs="Arial"/>
          <w:sz w:val="22"/>
          <w:lang w:eastAsia="cs-CZ"/>
        </w:rPr>
      </w:pPr>
      <w:r w:rsidRPr="00E04ECA">
        <w:rPr>
          <w:rFonts w:ascii="Arial" w:eastAsia="Times New Roman" w:hAnsi="Arial" w:cs="Arial"/>
          <w:sz w:val="22"/>
          <w:lang w:eastAsia="cs-CZ"/>
        </w:rPr>
        <w:t>5) Pokud tyto podněty nejsou evidovány na úrovni Vaší organizační jednotky, ale jiné, pak tuto informaci rovněž sdělte.“</w:t>
      </w:r>
    </w:p>
    <w:p w:rsidR="00A25A21" w:rsidRPr="005A4C8E" w:rsidRDefault="00A25A21" w:rsidP="005A4C8E">
      <w:pPr>
        <w:autoSpaceDE w:val="0"/>
        <w:autoSpaceDN w:val="0"/>
        <w:adjustRightInd w:val="0"/>
        <w:spacing w:after="0" w:line="240" w:lineRule="auto"/>
        <w:contextualSpacing/>
        <w:jc w:val="both"/>
        <w:rPr>
          <w:rFonts w:ascii="Arial" w:eastAsia="Times New Roman" w:hAnsi="Arial" w:cs="Arial"/>
          <w:sz w:val="22"/>
          <w:lang w:eastAsia="cs-CZ"/>
        </w:rPr>
      </w:pPr>
    </w:p>
    <w:p w:rsidR="00A25A21" w:rsidRDefault="00F541D6" w:rsidP="00D7685C">
      <w:pPr>
        <w:pBdr>
          <w:top w:val="single" w:sz="4" w:space="1" w:color="auto"/>
          <w:left w:val="single" w:sz="4" w:space="4" w:color="auto"/>
          <w:bottom w:val="single" w:sz="4" w:space="1" w:color="auto"/>
          <w:right w:val="single" w:sz="4" w:space="4" w:color="auto"/>
        </w:pBdr>
        <w:spacing w:after="0"/>
        <w:jc w:val="both"/>
        <w:rPr>
          <w:rFonts w:ascii="Arial" w:hAnsi="Arial" w:cs="Arial"/>
          <w:b/>
          <w:color w:val="000000"/>
          <w:sz w:val="22"/>
        </w:rPr>
      </w:pPr>
      <w:r w:rsidRPr="009F670F">
        <w:rPr>
          <w:rFonts w:ascii="Arial" w:hAnsi="Arial" w:cs="Arial"/>
          <w:b/>
          <w:color w:val="000000"/>
          <w:sz w:val="22"/>
        </w:rPr>
        <w:t>Finanční úřad pro Jihomoravský kraj následně poskytnul následující informace:</w:t>
      </w:r>
    </w:p>
    <w:p w:rsidR="00E04ECA" w:rsidRPr="00E04ECA" w:rsidRDefault="00E04ECA" w:rsidP="00E04ECA">
      <w:pPr>
        <w:jc w:val="both"/>
        <w:rPr>
          <w:rFonts w:ascii="Arial" w:hAnsi="Arial" w:cs="Arial"/>
          <w:sz w:val="22"/>
        </w:rPr>
      </w:pPr>
      <w:r w:rsidRPr="00E04ECA">
        <w:rPr>
          <w:rFonts w:ascii="Arial" w:hAnsi="Arial" w:cs="Arial"/>
          <w:sz w:val="22"/>
        </w:rPr>
        <w:t>AD 1) Za období od 01. 01. 2020 do 31. 05. 2020 by</w:t>
      </w:r>
      <w:r>
        <w:rPr>
          <w:rFonts w:ascii="Arial" w:hAnsi="Arial" w:cs="Arial"/>
          <w:sz w:val="22"/>
        </w:rPr>
        <w:t xml:space="preserve">lo povinnému subjektu doručeno </w:t>
      </w:r>
      <w:r w:rsidRPr="00E04ECA">
        <w:rPr>
          <w:rFonts w:ascii="Arial" w:hAnsi="Arial" w:cs="Arial"/>
          <w:sz w:val="22"/>
        </w:rPr>
        <w:t xml:space="preserve">10 podnětů na porušení povinnosti uveřejňovat účetní </w:t>
      </w:r>
      <w:r>
        <w:rPr>
          <w:rFonts w:ascii="Arial" w:hAnsi="Arial" w:cs="Arial"/>
          <w:sz w:val="22"/>
        </w:rPr>
        <w:t xml:space="preserve">závěrku, popř. výroční zprávu, </w:t>
      </w:r>
      <w:r w:rsidRPr="00E04ECA">
        <w:rPr>
          <w:rFonts w:ascii="Arial" w:hAnsi="Arial" w:cs="Arial"/>
          <w:sz w:val="22"/>
        </w:rPr>
        <w:t>ve smyslu zákona č. 563/1991 Sb., o účetnictv</w:t>
      </w:r>
      <w:r>
        <w:rPr>
          <w:rFonts w:ascii="Arial" w:hAnsi="Arial" w:cs="Arial"/>
          <w:sz w:val="22"/>
        </w:rPr>
        <w:t>í ve znění pozdějších předpisů.</w:t>
      </w:r>
    </w:p>
    <w:p w:rsidR="00E04ECA" w:rsidRPr="00E04ECA" w:rsidRDefault="00E04ECA" w:rsidP="00E04ECA">
      <w:pPr>
        <w:jc w:val="both"/>
        <w:rPr>
          <w:rFonts w:ascii="Arial" w:hAnsi="Arial" w:cs="Arial"/>
          <w:sz w:val="22"/>
        </w:rPr>
      </w:pPr>
      <w:r w:rsidRPr="00E04ECA">
        <w:rPr>
          <w:rFonts w:ascii="Arial" w:hAnsi="Arial" w:cs="Arial"/>
          <w:sz w:val="22"/>
        </w:rPr>
        <w:t xml:space="preserve">AD 2) Nezveřejnění účetní závěrky nebo výroční zprávy podle § 21a zákona č. 563/1991 Sb., o účetnictví, ve znění pozdějších předpisů (dále jen „ZOÚ“) je považováno za přestupek, za který lze uložit pokutu (§ 37 a násl. ZOÚ). </w:t>
      </w:r>
    </w:p>
    <w:p w:rsidR="00E04ECA" w:rsidRPr="00E04ECA" w:rsidRDefault="00E04ECA" w:rsidP="00E04ECA">
      <w:pPr>
        <w:jc w:val="both"/>
        <w:rPr>
          <w:rFonts w:ascii="Arial" w:hAnsi="Arial" w:cs="Arial"/>
          <w:sz w:val="22"/>
        </w:rPr>
      </w:pPr>
      <w:r w:rsidRPr="00E04ECA">
        <w:rPr>
          <w:rFonts w:ascii="Arial" w:hAnsi="Arial" w:cs="Arial"/>
          <w:sz w:val="22"/>
        </w:rPr>
        <w:t>Oprávněná úřední osoba nahlédnutím do sbírky listin příslušného veřejného rejstříku nejprve ověří oprávněnost podnětu a poté neformální cestou kontaktuje účetní jednotku a upozorní ji na skutečnost, že si nesplnila svou zákonnou povinnost zveřejnit účetní závěrku nebo výroční zprávu. Současně s tím dohodne s účetní jednotkou konkrétní den, dokdy účetní závěrku nebo výroční zprávu účetní jednotka zveřejní. Popsané úkony správní orgán provede zpravidla do 30 dnů ode dne podání podnětu.</w:t>
      </w:r>
    </w:p>
    <w:p w:rsidR="00E04ECA" w:rsidRPr="00E04ECA" w:rsidRDefault="00E04ECA" w:rsidP="00E04ECA">
      <w:pPr>
        <w:jc w:val="both"/>
        <w:rPr>
          <w:rFonts w:ascii="Arial" w:hAnsi="Arial" w:cs="Arial"/>
          <w:sz w:val="22"/>
        </w:rPr>
      </w:pPr>
      <w:r w:rsidRPr="00E04ECA">
        <w:rPr>
          <w:rFonts w:ascii="Arial" w:hAnsi="Arial" w:cs="Arial"/>
          <w:sz w:val="22"/>
        </w:rPr>
        <w:t>Dohodnutím náhradní lhůty pro zveřejnění účetní závěrky nebo výroční zprávy umožní správní orgán účetní jednotce nápravu protiprávního stavu dodatečně. Nedojde-li však v dohodnuté náhradní lhůtě k nápravě, správní orgán zahájí s účetní jednotkou řízení. Řízení správní orgán zahajuje zpravidla do 30 dnů po zjištění skutečnosti, že protiprávní stav, tj. nezveřejnění účetní závěrky nebo výroční zprávy, nebyl účetní jednotkou napraven ani po jeho upozornění.</w:t>
      </w:r>
    </w:p>
    <w:p w:rsidR="00E04ECA" w:rsidRPr="00E04ECA" w:rsidRDefault="00E04ECA" w:rsidP="00E04ECA">
      <w:pPr>
        <w:jc w:val="both"/>
        <w:rPr>
          <w:rFonts w:ascii="Arial" w:hAnsi="Arial" w:cs="Arial"/>
          <w:sz w:val="22"/>
        </w:rPr>
      </w:pPr>
      <w:r w:rsidRPr="00E04ECA">
        <w:rPr>
          <w:rFonts w:ascii="Arial" w:hAnsi="Arial" w:cs="Arial"/>
          <w:sz w:val="22"/>
        </w:rPr>
        <w:t>Doba vyřízení podnětu se odvíjí od způsobu, možnosti a délky komunikace správního orgánu s účetní jednotkou a součinnosti účetní jednotky v rámci správního řízení.</w:t>
      </w:r>
    </w:p>
    <w:p w:rsidR="00E04ECA" w:rsidRPr="00E04ECA" w:rsidRDefault="00E04ECA" w:rsidP="00E04ECA">
      <w:pPr>
        <w:jc w:val="both"/>
        <w:rPr>
          <w:rFonts w:ascii="Arial" w:hAnsi="Arial" w:cs="Arial"/>
          <w:sz w:val="22"/>
        </w:rPr>
      </w:pPr>
    </w:p>
    <w:p w:rsidR="00E04ECA" w:rsidRPr="00E04ECA" w:rsidRDefault="00E04ECA" w:rsidP="00E04ECA">
      <w:pPr>
        <w:jc w:val="both"/>
        <w:rPr>
          <w:rFonts w:ascii="Arial" w:hAnsi="Arial" w:cs="Arial"/>
          <w:sz w:val="22"/>
        </w:rPr>
      </w:pPr>
      <w:r w:rsidRPr="00E04ECA">
        <w:rPr>
          <w:rFonts w:ascii="Arial" w:hAnsi="Arial" w:cs="Arial"/>
          <w:sz w:val="22"/>
        </w:rPr>
        <w:t xml:space="preserve">AD 3) V návaznosti na odpověď uvedenou pod bodem AD 2) lze uvést, že první úkon vůči účetní jednotce provede správní orgán zpravidla do 30 dnů od obdržení podnětu. </w:t>
      </w:r>
    </w:p>
    <w:p w:rsidR="00E04ECA" w:rsidRPr="00E04ECA" w:rsidRDefault="00E04ECA" w:rsidP="00E04ECA">
      <w:pPr>
        <w:jc w:val="both"/>
        <w:rPr>
          <w:rFonts w:ascii="Arial" w:hAnsi="Arial" w:cs="Arial"/>
          <w:sz w:val="22"/>
        </w:rPr>
      </w:pPr>
    </w:p>
    <w:p w:rsidR="00E04ECA" w:rsidRPr="00E04ECA" w:rsidRDefault="00E04ECA" w:rsidP="00E04ECA">
      <w:pPr>
        <w:jc w:val="both"/>
        <w:rPr>
          <w:rFonts w:ascii="Arial" w:hAnsi="Arial" w:cs="Arial"/>
          <w:sz w:val="22"/>
        </w:rPr>
      </w:pPr>
      <w:r w:rsidRPr="00E04ECA">
        <w:rPr>
          <w:rFonts w:ascii="Arial" w:hAnsi="Arial" w:cs="Arial"/>
          <w:sz w:val="22"/>
        </w:rPr>
        <w:t>AD 4) Jak bylo uvedeno pod bodem AD 1) za období od 01. 01. 2020 do 31. 05. 2020 bylo povinnému subjektu doručeno 10 podnětů na porušení povinnosti uveřejňovat účetní závěrku, popř. výroční zprávu, ve smyslu ZOÚ, z toho:</w:t>
      </w:r>
    </w:p>
    <w:p w:rsidR="00E04ECA" w:rsidRPr="00E04ECA" w:rsidRDefault="00E04ECA" w:rsidP="00E04ECA">
      <w:pPr>
        <w:spacing w:line="240" w:lineRule="auto"/>
        <w:jc w:val="both"/>
        <w:rPr>
          <w:rFonts w:ascii="Arial" w:hAnsi="Arial" w:cs="Arial"/>
          <w:sz w:val="22"/>
        </w:rPr>
      </w:pPr>
      <w:r w:rsidRPr="00E04ECA">
        <w:rPr>
          <w:rFonts w:ascii="Arial" w:hAnsi="Arial" w:cs="Arial"/>
          <w:sz w:val="22"/>
        </w:rPr>
        <w:t>-</w:t>
      </w:r>
      <w:r w:rsidRPr="00E04ECA">
        <w:rPr>
          <w:rFonts w:ascii="Arial" w:hAnsi="Arial" w:cs="Arial"/>
          <w:sz w:val="22"/>
        </w:rPr>
        <w:tab/>
        <w:t>ve třech případech probíhá správní řízení</w:t>
      </w:r>
    </w:p>
    <w:p w:rsidR="00E04ECA" w:rsidRPr="00E04ECA" w:rsidRDefault="00E04ECA" w:rsidP="00E04ECA">
      <w:pPr>
        <w:spacing w:line="240" w:lineRule="auto"/>
        <w:jc w:val="both"/>
        <w:rPr>
          <w:rFonts w:ascii="Arial" w:hAnsi="Arial" w:cs="Arial"/>
          <w:sz w:val="22"/>
        </w:rPr>
      </w:pPr>
      <w:r w:rsidRPr="00E04ECA">
        <w:rPr>
          <w:rFonts w:ascii="Arial" w:hAnsi="Arial" w:cs="Arial"/>
          <w:sz w:val="22"/>
        </w:rPr>
        <w:t>-</w:t>
      </w:r>
      <w:r w:rsidRPr="00E04ECA">
        <w:rPr>
          <w:rFonts w:ascii="Arial" w:hAnsi="Arial" w:cs="Arial"/>
          <w:sz w:val="22"/>
        </w:rPr>
        <w:tab/>
        <w:t>v jednom případě byla účetní jednotce uložena pokuta rejstříkovým soudem</w:t>
      </w:r>
    </w:p>
    <w:p w:rsidR="00E04ECA" w:rsidRPr="00E04ECA" w:rsidRDefault="00E04ECA" w:rsidP="00E04ECA">
      <w:pPr>
        <w:spacing w:line="240" w:lineRule="auto"/>
        <w:jc w:val="both"/>
        <w:rPr>
          <w:rFonts w:ascii="Arial" w:hAnsi="Arial" w:cs="Arial"/>
          <w:sz w:val="22"/>
        </w:rPr>
      </w:pPr>
      <w:r w:rsidRPr="00E04ECA">
        <w:rPr>
          <w:rFonts w:ascii="Arial" w:hAnsi="Arial" w:cs="Arial"/>
          <w:sz w:val="22"/>
        </w:rPr>
        <w:t>-</w:t>
      </w:r>
      <w:r w:rsidRPr="00E04ECA">
        <w:rPr>
          <w:rFonts w:ascii="Arial" w:hAnsi="Arial" w:cs="Arial"/>
          <w:sz w:val="22"/>
        </w:rPr>
        <w:tab/>
        <w:t>v jednom případě řeší porušení povinnosti dle ZOÚ s účetní jednotkou rejstříkový soud</w:t>
      </w:r>
    </w:p>
    <w:p w:rsidR="00E04ECA" w:rsidRPr="00E04ECA" w:rsidRDefault="00E04ECA" w:rsidP="00E04ECA">
      <w:pPr>
        <w:spacing w:line="240" w:lineRule="auto"/>
        <w:jc w:val="both"/>
        <w:rPr>
          <w:rFonts w:ascii="Arial" w:hAnsi="Arial" w:cs="Arial"/>
          <w:sz w:val="22"/>
        </w:rPr>
      </w:pPr>
      <w:r w:rsidRPr="00E04ECA">
        <w:rPr>
          <w:rFonts w:ascii="Arial" w:hAnsi="Arial" w:cs="Arial"/>
          <w:sz w:val="22"/>
        </w:rPr>
        <w:t>-</w:t>
      </w:r>
      <w:r w:rsidRPr="00E04ECA">
        <w:rPr>
          <w:rFonts w:ascii="Arial" w:hAnsi="Arial" w:cs="Arial"/>
          <w:sz w:val="22"/>
        </w:rPr>
        <w:tab/>
        <w:t>ve třech případech došlo po upozornění účetní jednotky k okamžité nápravě stavu</w:t>
      </w:r>
    </w:p>
    <w:p w:rsidR="00E04ECA" w:rsidRPr="00E04ECA" w:rsidRDefault="00E04ECA" w:rsidP="00E04ECA">
      <w:pPr>
        <w:spacing w:line="240" w:lineRule="auto"/>
        <w:jc w:val="both"/>
        <w:rPr>
          <w:rFonts w:ascii="Arial" w:hAnsi="Arial" w:cs="Arial"/>
          <w:sz w:val="22"/>
        </w:rPr>
      </w:pPr>
      <w:r w:rsidRPr="00E04ECA">
        <w:rPr>
          <w:rFonts w:ascii="Arial" w:hAnsi="Arial" w:cs="Arial"/>
          <w:sz w:val="22"/>
        </w:rPr>
        <w:t>-</w:t>
      </w:r>
      <w:r w:rsidRPr="00E04ECA">
        <w:rPr>
          <w:rFonts w:ascii="Arial" w:hAnsi="Arial" w:cs="Arial"/>
          <w:sz w:val="22"/>
        </w:rPr>
        <w:tab/>
        <w:t>v jednom případě byl podnět odložen</w:t>
      </w:r>
    </w:p>
    <w:p w:rsidR="00A25A21" w:rsidRPr="00A25A21" w:rsidRDefault="00E04ECA" w:rsidP="00E04ECA">
      <w:pPr>
        <w:spacing w:line="240" w:lineRule="auto"/>
        <w:jc w:val="both"/>
        <w:rPr>
          <w:rFonts w:ascii="Arial" w:hAnsi="Arial" w:cs="Arial"/>
          <w:sz w:val="22"/>
        </w:rPr>
      </w:pPr>
      <w:r w:rsidRPr="00E04ECA">
        <w:rPr>
          <w:rFonts w:ascii="Arial" w:hAnsi="Arial" w:cs="Arial"/>
          <w:sz w:val="22"/>
        </w:rPr>
        <w:t>-</w:t>
      </w:r>
      <w:r w:rsidRPr="00E04ECA">
        <w:rPr>
          <w:rFonts w:ascii="Arial" w:hAnsi="Arial" w:cs="Arial"/>
          <w:sz w:val="22"/>
        </w:rPr>
        <w:tab/>
        <w:t>v jednom případě byl podnět shledán nedůvodným</w:t>
      </w:r>
    </w:p>
    <w:p w:rsidR="00A25A21" w:rsidRDefault="00A25A21" w:rsidP="00E04ECA">
      <w:pPr>
        <w:jc w:val="both"/>
        <w:rPr>
          <w:rFonts w:ascii="Arial" w:hAnsi="Arial" w:cs="Arial"/>
          <w:sz w:val="22"/>
        </w:rPr>
      </w:pPr>
    </w:p>
    <w:p w:rsidR="00A25A21" w:rsidRPr="00A25A21" w:rsidRDefault="00A25A21" w:rsidP="00A25A21">
      <w:pPr>
        <w:ind w:firstLine="708"/>
        <w:rPr>
          <w:rFonts w:ascii="Arial" w:hAnsi="Arial" w:cs="Arial"/>
          <w:sz w:val="22"/>
        </w:rPr>
      </w:pPr>
      <w:bookmarkStart w:id="0" w:name="_GoBack"/>
      <w:bookmarkEnd w:id="0"/>
    </w:p>
    <w:sectPr w:rsidR="00A25A21" w:rsidRPr="00A25A21" w:rsidSect="00D7685C">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3BE"/>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8538B7"/>
    <w:multiLevelType w:val="hybridMultilevel"/>
    <w:tmpl w:val="A04853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A06299"/>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2A6625"/>
    <w:multiLevelType w:val="hybridMultilevel"/>
    <w:tmpl w:val="89FE3A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2E4E35"/>
    <w:multiLevelType w:val="hybridMultilevel"/>
    <w:tmpl w:val="845E7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E83ADC"/>
    <w:multiLevelType w:val="hybridMultilevel"/>
    <w:tmpl w:val="6FACA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3760A9"/>
    <w:multiLevelType w:val="hybridMultilevel"/>
    <w:tmpl w:val="BE1E0A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CB3CEE"/>
    <w:multiLevelType w:val="hybridMultilevel"/>
    <w:tmpl w:val="518AA2FA"/>
    <w:lvl w:ilvl="0" w:tplc="CF7EC75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9DA3067"/>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F936CB"/>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F77879"/>
    <w:multiLevelType w:val="hybridMultilevel"/>
    <w:tmpl w:val="593A89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0"/>
  </w:num>
  <w:num w:numId="6">
    <w:abstractNumId w:val="2"/>
  </w:num>
  <w:num w:numId="7">
    <w:abstractNumId w:val="9"/>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4A"/>
    <w:rsid w:val="0009170E"/>
    <w:rsid w:val="000A033C"/>
    <w:rsid w:val="000B051D"/>
    <w:rsid w:val="00110CC9"/>
    <w:rsid w:val="00110D93"/>
    <w:rsid w:val="00192B90"/>
    <w:rsid w:val="001A12C6"/>
    <w:rsid w:val="001B62D7"/>
    <w:rsid w:val="001C2F4C"/>
    <w:rsid w:val="001D0A57"/>
    <w:rsid w:val="001E4D24"/>
    <w:rsid w:val="002401EA"/>
    <w:rsid w:val="00282363"/>
    <w:rsid w:val="002A598E"/>
    <w:rsid w:val="00307307"/>
    <w:rsid w:val="003643C6"/>
    <w:rsid w:val="003C14B0"/>
    <w:rsid w:val="00472905"/>
    <w:rsid w:val="004A7B61"/>
    <w:rsid w:val="004C480E"/>
    <w:rsid w:val="004F06C4"/>
    <w:rsid w:val="00532720"/>
    <w:rsid w:val="005A4C8E"/>
    <w:rsid w:val="006424FD"/>
    <w:rsid w:val="00713F06"/>
    <w:rsid w:val="00714CF4"/>
    <w:rsid w:val="00725261"/>
    <w:rsid w:val="00737C9D"/>
    <w:rsid w:val="007B4A54"/>
    <w:rsid w:val="007F3D3A"/>
    <w:rsid w:val="00815300"/>
    <w:rsid w:val="008406D4"/>
    <w:rsid w:val="0086342E"/>
    <w:rsid w:val="00880165"/>
    <w:rsid w:val="0089534E"/>
    <w:rsid w:val="008E12EF"/>
    <w:rsid w:val="00967AA7"/>
    <w:rsid w:val="009E48BB"/>
    <w:rsid w:val="009F670F"/>
    <w:rsid w:val="00A25A21"/>
    <w:rsid w:val="00A3199A"/>
    <w:rsid w:val="00A95871"/>
    <w:rsid w:val="00AB66D6"/>
    <w:rsid w:val="00B71E91"/>
    <w:rsid w:val="00B81F51"/>
    <w:rsid w:val="00BA7E3D"/>
    <w:rsid w:val="00BB17E4"/>
    <w:rsid w:val="00BB5D59"/>
    <w:rsid w:val="00C46A53"/>
    <w:rsid w:val="00C6154B"/>
    <w:rsid w:val="00CA64B8"/>
    <w:rsid w:val="00CF2677"/>
    <w:rsid w:val="00CF594A"/>
    <w:rsid w:val="00D20FB6"/>
    <w:rsid w:val="00D33CDF"/>
    <w:rsid w:val="00D610DA"/>
    <w:rsid w:val="00D62D38"/>
    <w:rsid w:val="00D7685C"/>
    <w:rsid w:val="00DE08FB"/>
    <w:rsid w:val="00E04ECA"/>
    <w:rsid w:val="00EE4A57"/>
    <w:rsid w:val="00F541D6"/>
    <w:rsid w:val="00F57E92"/>
    <w:rsid w:val="00F90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F5EC4-D2AE-41E0-A637-A3AD30B4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2B90"/>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92B90"/>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192B90"/>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532720"/>
    <w:pPr>
      <w:spacing w:after="0" w:line="240" w:lineRule="auto"/>
    </w:pPr>
    <w:rPr>
      <w:rFonts w:ascii="Calibri" w:hAnsi="Calibri"/>
      <w:sz w:val="22"/>
      <w:szCs w:val="21"/>
    </w:rPr>
  </w:style>
  <w:style w:type="character" w:customStyle="1" w:styleId="ProsttextChar">
    <w:name w:val="Prostý text Char"/>
    <w:basedOn w:val="Standardnpsmoodstavce"/>
    <w:link w:val="Prosttext"/>
    <w:uiPriority w:val="99"/>
    <w:rsid w:val="00532720"/>
    <w:rPr>
      <w:rFonts w:ascii="Calibri" w:eastAsia="Calibri" w:hAnsi="Calibri" w:cs="Times New Roman"/>
      <w:szCs w:val="21"/>
    </w:rPr>
  </w:style>
  <w:style w:type="paragraph" w:styleId="Zhlav">
    <w:name w:val="header"/>
    <w:basedOn w:val="Normln"/>
    <w:link w:val="ZhlavChar"/>
    <w:rsid w:val="002401EA"/>
    <w:pPr>
      <w:tabs>
        <w:tab w:val="center" w:pos="4536"/>
        <w:tab w:val="right" w:pos="9072"/>
      </w:tabs>
      <w:spacing w:after="0" w:line="240" w:lineRule="auto"/>
    </w:pPr>
    <w:rPr>
      <w:rFonts w:ascii="Arial" w:eastAsia="Times New Roman" w:hAnsi="Arial" w:cs="Arial"/>
      <w:sz w:val="22"/>
      <w:lang w:eastAsia="cs-CZ"/>
    </w:rPr>
  </w:style>
  <w:style w:type="character" w:customStyle="1" w:styleId="ZhlavChar">
    <w:name w:val="Záhlaví Char"/>
    <w:basedOn w:val="Standardnpsmoodstavce"/>
    <w:link w:val="Zhlav"/>
    <w:rsid w:val="002401EA"/>
    <w:rPr>
      <w:rFonts w:ascii="Arial" w:eastAsia="Times New Roman" w:hAnsi="Arial" w:cs="Arial"/>
      <w:lang w:eastAsia="cs-CZ"/>
    </w:rPr>
  </w:style>
  <w:style w:type="paragraph" w:styleId="Normlnweb">
    <w:name w:val="Normal (Web)"/>
    <w:basedOn w:val="Normln"/>
    <w:rsid w:val="00714CF4"/>
    <w:pPr>
      <w:spacing w:before="100" w:beforeAutospacing="1" w:after="100" w:afterAutospacing="1" w:line="240" w:lineRule="auto"/>
    </w:pPr>
    <w:rPr>
      <w:rFonts w:eastAsia="Times New Roman"/>
      <w:szCs w:val="24"/>
      <w:lang w:eastAsia="cs-CZ"/>
    </w:rPr>
  </w:style>
  <w:style w:type="character" w:styleId="Hypertextovodkaz">
    <w:name w:val="Hyperlink"/>
    <w:rsid w:val="00F541D6"/>
    <w:rPr>
      <w:color w:val="0000FF"/>
      <w:u w:val="single"/>
    </w:rPr>
  </w:style>
  <w:style w:type="paragraph" w:styleId="Odstavecseseznamem">
    <w:name w:val="List Paragraph"/>
    <w:basedOn w:val="Normln"/>
    <w:uiPriority w:val="34"/>
    <w:qFormat/>
    <w:rsid w:val="007F3D3A"/>
    <w:pPr>
      <w:spacing w:after="0" w:line="240" w:lineRule="auto"/>
      <w:ind w:left="720"/>
      <w:contextualSpacing/>
    </w:pPr>
    <w:rPr>
      <w:rFonts w:eastAsia="Times New Roman"/>
      <w:szCs w:val="24"/>
      <w:lang w:eastAsia="cs-CZ"/>
    </w:rPr>
  </w:style>
  <w:style w:type="table" w:styleId="Mkatabulky">
    <w:name w:val="Table Grid"/>
    <w:basedOn w:val="Normlntabulka"/>
    <w:rsid w:val="00D7685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13385">
      <w:bodyDiv w:val="1"/>
      <w:marLeft w:val="0"/>
      <w:marRight w:val="0"/>
      <w:marTop w:val="0"/>
      <w:marBottom w:val="0"/>
      <w:divBdr>
        <w:top w:val="none" w:sz="0" w:space="0" w:color="auto"/>
        <w:left w:val="none" w:sz="0" w:space="0" w:color="auto"/>
        <w:bottom w:val="none" w:sz="0" w:space="0" w:color="auto"/>
        <w:right w:val="none" w:sz="0" w:space="0" w:color="auto"/>
      </w:divBdr>
    </w:div>
    <w:div w:id="549876922">
      <w:bodyDiv w:val="1"/>
      <w:marLeft w:val="0"/>
      <w:marRight w:val="0"/>
      <w:marTop w:val="0"/>
      <w:marBottom w:val="0"/>
      <w:divBdr>
        <w:top w:val="none" w:sz="0" w:space="0" w:color="auto"/>
        <w:left w:val="none" w:sz="0" w:space="0" w:color="auto"/>
        <w:bottom w:val="none" w:sz="0" w:space="0" w:color="auto"/>
        <w:right w:val="none" w:sz="0" w:space="0" w:color="auto"/>
      </w:divBdr>
    </w:div>
    <w:div w:id="573509857">
      <w:bodyDiv w:val="1"/>
      <w:marLeft w:val="0"/>
      <w:marRight w:val="0"/>
      <w:marTop w:val="0"/>
      <w:marBottom w:val="0"/>
      <w:divBdr>
        <w:top w:val="none" w:sz="0" w:space="0" w:color="auto"/>
        <w:left w:val="none" w:sz="0" w:space="0" w:color="auto"/>
        <w:bottom w:val="none" w:sz="0" w:space="0" w:color="auto"/>
        <w:right w:val="none" w:sz="0" w:space="0" w:color="auto"/>
      </w:divBdr>
    </w:div>
    <w:div w:id="1468670327">
      <w:bodyDiv w:val="1"/>
      <w:marLeft w:val="0"/>
      <w:marRight w:val="0"/>
      <w:marTop w:val="0"/>
      <w:marBottom w:val="0"/>
      <w:divBdr>
        <w:top w:val="none" w:sz="0" w:space="0" w:color="auto"/>
        <w:left w:val="none" w:sz="0" w:space="0" w:color="auto"/>
        <w:bottom w:val="none" w:sz="0" w:space="0" w:color="auto"/>
        <w:right w:val="none" w:sz="0" w:space="0" w:color="auto"/>
      </w:divBdr>
    </w:div>
    <w:div w:id="1915314736">
      <w:bodyDiv w:val="1"/>
      <w:marLeft w:val="0"/>
      <w:marRight w:val="0"/>
      <w:marTop w:val="0"/>
      <w:marBottom w:val="0"/>
      <w:divBdr>
        <w:top w:val="none" w:sz="0" w:space="0" w:color="auto"/>
        <w:left w:val="none" w:sz="0" w:space="0" w:color="auto"/>
        <w:bottom w:val="none" w:sz="0" w:space="0" w:color="auto"/>
        <w:right w:val="none" w:sz="0" w:space="0" w:color="auto"/>
      </w:divBdr>
    </w:div>
    <w:div w:id="2047558151">
      <w:bodyDiv w:val="1"/>
      <w:marLeft w:val="0"/>
      <w:marRight w:val="0"/>
      <w:marTop w:val="0"/>
      <w:marBottom w:val="0"/>
      <w:divBdr>
        <w:top w:val="none" w:sz="0" w:space="0" w:color="auto"/>
        <w:left w:val="none" w:sz="0" w:space="0" w:color="auto"/>
        <w:bottom w:val="none" w:sz="0" w:space="0" w:color="auto"/>
        <w:right w:val="none" w:sz="0" w:space="0" w:color="auto"/>
      </w:divBdr>
    </w:div>
    <w:div w:id="20570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9E95-FA2A-4E2C-8D51-C952CA41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506</Words>
  <Characters>2989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Finanční ředitelství v Brně</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Burdík Petr Mgr. (FÚ pro Jihomoravský kraj)</dc:creator>
  <cp:lastModifiedBy>Menšíková Bohdana Mgr. (FÚ pro Jihomoravský kraj)</cp:lastModifiedBy>
  <cp:revision>20</cp:revision>
  <cp:lastPrinted>2015-03-09T10:55:00Z</cp:lastPrinted>
  <dcterms:created xsi:type="dcterms:W3CDTF">2016-03-08T05:43:00Z</dcterms:created>
  <dcterms:modified xsi:type="dcterms:W3CDTF">2021-02-01T09:31:00Z</dcterms:modified>
</cp:coreProperties>
</file>