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5F8" w:rsidRDefault="00E666C8" w:rsidP="00E666C8">
      <w:pPr>
        <w:pStyle w:val="Bezmezer"/>
        <w:rPr>
          <w:rFonts w:ascii="Arial" w:hAnsi="Arial" w:cs="Arial"/>
          <w:b/>
        </w:rPr>
      </w:pPr>
      <w:r w:rsidRPr="00E666C8">
        <w:rPr>
          <w:rFonts w:ascii="Arial" w:hAnsi="Arial" w:cs="Arial"/>
          <w:b/>
        </w:rPr>
        <w:t>FINANČNÍ ÚŘAD PRO JIHOMORAVSKÝ KRAJ</w:t>
      </w:r>
    </w:p>
    <w:p w:rsidR="00E666C8" w:rsidRDefault="00E666C8" w:rsidP="00E666C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náměstí Svobody 4, </w:t>
      </w:r>
      <w:proofErr w:type="gramStart"/>
      <w:r>
        <w:rPr>
          <w:rFonts w:ascii="Arial" w:hAnsi="Arial" w:cs="Arial"/>
        </w:rPr>
        <w:t>602 00  Brno</w:t>
      </w:r>
      <w:proofErr w:type="gramEnd"/>
    </w:p>
    <w:p w:rsidR="00E666C8" w:rsidRDefault="00E666C8" w:rsidP="00E666C8">
      <w:pPr>
        <w:pStyle w:val="Bezmezer"/>
        <w:rPr>
          <w:rFonts w:ascii="Arial" w:hAnsi="Arial" w:cs="Arial"/>
        </w:rPr>
      </w:pPr>
    </w:p>
    <w:p w:rsidR="00E666C8" w:rsidRDefault="00E666C8" w:rsidP="00E666C8">
      <w:pPr>
        <w:pStyle w:val="Bezmezer"/>
        <w:rPr>
          <w:rFonts w:ascii="Arial" w:hAnsi="Arial" w:cs="Arial"/>
        </w:rPr>
      </w:pPr>
    </w:p>
    <w:p w:rsidR="00384095" w:rsidRDefault="00384095" w:rsidP="00E666C8">
      <w:pPr>
        <w:pStyle w:val="Bezmezer"/>
        <w:rPr>
          <w:rFonts w:ascii="Arial" w:hAnsi="Arial" w:cs="Arial"/>
        </w:rPr>
      </w:pPr>
    </w:p>
    <w:p w:rsidR="00E666C8" w:rsidRDefault="00E666C8" w:rsidP="00E666C8">
      <w:pPr>
        <w:pStyle w:val="Bezmezer"/>
        <w:rPr>
          <w:rFonts w:ascii="Arial" w:hAnsi="Arial" w:cs="Arial"/>
        </w:rPr>
      </w:pPr>
    </w:p>
    <w:p w:rsidR="00E666C8" w:rsidRDefault="00E666C8" w:rsidP="00E666C8">
      <w:pPr>
        <w:pStyle w:val="Bezmezer"/>
        <w:rPr>
          <w:rFonts w:ascii="Arial" w:hAnsi="Arial" w:cs="Arial"/>
        </w:rPr>
      </w:pPr>
    </w:p>
    <w:p w:rsidR="00E666C8" w:rsidRDefault="00E666C8" w:rsidP="00E666C8">
      <w:pPr>
        <w:pStyle w:val="Bezmezer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V Brně dne 2. </w:t>
      </w:r>
      <w:r w:rsidR="00A26566">
        <w:rPr>
          <w:rFonts w:ascii="Arial" w:hAnsi="Arial" w:cs="Arial"/>
        </w:rPr>
        <w:t>2</w:t>
      </w:r>
      <w:r>
        <w:rPr>
          <w:rFonts w:ascii="Arial" w:hAnsi="Arial" w:cs="Arial"/>
        </w:rPr>
        <w:t>. 201</w:t>
      </w:r>
      <w:r w:rsidR="00A26566">
        <w:rPr>
          <w:rFonts w:ascii="Arial" w:hAnsi="Arial" w:cs="Arial"/>
        </w:rPr>
        <w:t>8</w:t>
      </w:r>
    </w:p>
    <w:p w:rsidR="00B417C0" w:rsidRDefault="00B417C0" w:rsidP="00E666C8">
      <w:pPr>
        <w:pStyle w:val="Bezmezer"/>
        <w:jc w:val="right"/>
        <w:rPr>
          <w:rFonts w:ascii="Arial" w:hAnsi="Arial" w:cs="Arial"/>
        </w:rPr>
      </w:pPr>
    </w:p>
    <w:p w:rsidR="00E666C8" w:rsidRDefault="00E666C8" w:rsidP="00E666C8">
      <w:pPr>
        <w:pStyle w:val="Bezmezer"/>
        <w:jc w:val="right"/>
        <w:rPr>
          <w:rFonts w:ascii="Arial" w:hAnsi="Arial" w:cs="Arial"/>
        </w:rPr>
      </w:pPr>
    </w:p>
    <w:p w:rsidR="00E666C8" w:rsidRDefault="00E666C8" w:rsidP="00E666C8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Finanční úřad pro Jihomoravský kraj poskytl postupem podle zákona č. 106/1999 Sb.,</w:t>
      </w:r>
      <w:r w:rsidR="00240D0F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o svobodném přístupu k informacím, ve znění pozdějších předpisů (dále jen „InfZ“), níže uvedené informace.</w:t>
      </w:r>
    </w:p>
    <w:p w:rsidR="00E666C8" w:rsidRDefault="00E666C8" w:rsidP="00E666C8">
      <w:pPr>
        <w:pStyle w:val="Bezmezer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666C8" w:rsidTr="00E666C8">
        <w:tc>
          <w:tcPr>
            <w:tcW w:w="9212" w:type="dxa"/>
          </w:tcPr>
          <w:p w:rsidR="00E666C8" w:rsidRPr="00384095" w:rsidRDefault="00E666C8" w:rsidP="00E666C8">
            <w:pPr>
              <w:pStyle w:val="Bezmezer"/>
              <w:jc w:val="both"/>
              <w:rPr>
                <w:rFonts w:ascii="Arial" w:hAnsi="Arial" w:cs="Arial"/>
                <w:b/>
              </w:rPr>
            </w:pPr>
            <w:r w:rsidRPr="00384095">
              <w:rPr>
                <w:rFonts w:ascii="Arial" w:hAnsi="Arial" w:cs="Arial"/>
                <w:b/>
              </w:rPr>
              <w:t>Žádostí byly po povinném subjektu požadovány tyto informace:</w:t>
            </w:r>
          </w:p>
        </w:tc>
      </w:tr>
    </w:tbl>
    <w:p w:rsidR="00A26566" w:rsidRDefault="00A26566" w:rsidP="00A26566">
      <w:pPr>
        <w:jc w:val="both"/>
        <w:rPr>
          <w:rFonts w:ascii="Arial" w:hAnsi="Arial" w:cs="Arial"/>
          <w:i/>
          <w:sz w:val="22"/>
          <w:szCs w:val="22"/>
        </w:rPr>
      </w:pPr>
    </w:p>
    <w:p w:rsidR="00A26566" w:rsidRDefault="00A26566" w:rsidP="00A26566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Daňový subjekt žádá, aby mu bylo písemnou formou sděleno, jaké znalosti, </w:t>
      </w:r>
      <w:proofErr w:type="gramStart"/>
      <w:r>
        <w:rPr>
          <w:rFonts w:ascii="Arial" w:hAnsi="Arial" w:cs="Arial"/>
          <w:i/>
          <w:sz w:val="22"/>
          <w:szCs w:val="22"/>
        </w:rPr>
        <w:t>zkušenosti</w:t>
      </w:r>
      <w:r>
        <w:rPr>
          <w:rFonts w:ascii="Arial" w:hAnsi="Arial" w:cs="Arial"/>
          <w:i/>
          <w:sz w:val="22"/>
          <w:szCs w:val="22"/>
        </w:rPr>
        <w:t xml:space="preserve">         </w:t>
      </w:r>
      <w:r>
        <w:rPr>
          <w:rFonts w:ascii="Arial" w:hAnsi="Arial" w:cs="Arial"/>
          <w:i/>
          <w:sz w:val="22"/>
          <w:szCs w:val="22"/>
        </w:rPr>
        <w:t xml:space="preserve"> a odborné</w:t>
      </w:r>
      <w:proofErr w:type="gramEnd"/>
      <w:r>
        <w:rPr>
          <w:rFonts w:ascii="Arial" w:hAnsi="Arial" w:cs="Arial"/>
          <w:i/>
          <w:sz w:val="22"/>
          <w:szCs w:val="22"/>
        </w:rPr>
        <w:t xml:space="preserve"> požadavky musí splňovat pracovníci FÚ, jaké mají finanční ohodnocení a jak prokazují svoji způsobilost k takovému povolání.</w:t>
      </w:r>
    </w:p>
    <w:p w:rsidR="00A26566" w:rsidRDefault="00A26566" w:rsidP="00A26566">
      <w:pPr>
        <w:jc w:val="both"/>
        <w:rPr>
          <w:rFonts w:ascii="Arial" w:hAnsi="Arial" w:cs="Arial"/>
          <w:i/>
          <w:sz w:val="22"/>
          <w:szCs w:val="22"/>
        </w:rPr>
      </w:pPr>
    </w:p>
    <w:p w:rsidR="00E666C8" w:rsidRDefault="00E666C8" w:rsidP="00E666C8">
      <w:pPr>
        <w:pStyle w:val="Bezmezer"/>
        <w:jc w:val="right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666C8" w:rsidTr="00E666C8">
        <w:tc>
          <w:tcPr>
            <w:tcW w:w="9212" w:type="dxa"/>
          </w:tcPr>
          <w:p w:rsidR="00E666C8" w:rsidRPr="00384095" w:rsidRDefault="00E666C8" w:rsidP="00384095">
            <w:pPr>
              <w:pStyle w:val="Bezmezer"/>
              <w:rPr>
                <w:rFonts w:ascii="Arial" w:hAnsi="Arial" w:cs="Arial"/>
                <w:b/>
              </w:rPr>
            </w:pPr>
            <w:r w:rsidRPr="00384095">
              <w:rPr>
                <w:rFonts w:ascii="Arial" w:hAnsi="Arial" w:cs="Arial"/>
                <w:b/>
              </w:rPr>
              <w:t>Finanční úřad pro Jihomoravský kraj následně poskytnul následující informace:</w:t>
            </w:r>
          </w:p>
        </w:tc>
      </w:tr>
    </w:tbl>
    <w:p w:rsidR="00E666C8" w:rsidRDefault="00E666C8" w:rsidP="00E666C8">
      <w:pPr>
        <w:pStyle w:val="Bezmezer"/>
        <w:rPr>
          <w:rFonts w:ascii="Arial" w:hAnsi="Arial" w:cs="Arial"/>
        </w:rPr>
      </w:pPr>
    </w:p>
    <w:p w:rsidR="00A26566" w:rsidRDefault="00A26566" w:rsidP="00A265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roblematika pracovně právních vztahů ve Finanční správě ČR je v současné době upravena zejména následujícími právními předpisy:</w:t>
      </w:r>
    </w:p>
    <w:p w:rsidR="00A26566" w:rsidRDefault="00A26566" w:rsidP="00A2656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z. </w:t>
      </w:r>
      <w:proofErr w:type="gramStart"/>
      <w:r>
        <w:rPr>
          <w:rFonts w:ascii="Arial" w:hAnsi="Arial" w:cs="Arial"/>
          <w:sz w:val="22"/>
          <w:szCs w:val="22"/>
        </w:rPr>
        <w:t>č.</w:t>
      </w:r>
      <w:proofErr w:type="gramEnd"/>
      <w:r>
        <w:rPr>
          <w:rFonts w:ascii="Arial" w:hAnsi="Arial" w:cs="Arial"/>
          <w:sz w:val="22"/>
          <w:szCs w:val="22"/>
        </w:rPr>
        <w:t xml:space="preserve"> 234/2014 Sb., o státní službě, ve znění pozdějších předpisů</w:t>
      </w:r>
    </w:p>
    <w:p w:rsidR="00A26566" w:rsidRDefault="00A26566" w:rsidP="00A2656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z. </w:t>
      </w:r>
      <w:proofErr w:type="gramStart"/>
      <w:r>
        <w:rPr>
          <w:rFonts w:ascii="Arial" w:hAnsi="Arial" w:cs="Arial"/>
          <w:sz w:val="22"/>
          <w:szCs w:val="22"/>
        </w:rPr>
        <w:t>č.</w:t>
      </w:r>
      <w:proofErr w:type="gramEnd"/>
      <w:r>
        <w:rPr>
          <w:rFonts w:ascii="Arial" w:hAnsi="Arial" w:cs="Arial"/>
          <w:sz w:val="22"/>
          <w:szCs w:val="22"/>
        </w:rPr>
        <w:t xml:space="preserve"> 262/2006 Sb., zákoník práce, ve znění pozdějších předpisů</w:t>
      </w:r>
    </w:p>
    <w:p w:rsidR="00A26566" w:rsidRDefault="00A26566" w:rsidP="00A2656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z. </w:t>
      </w:r>
      <w:proofErr w:type="gramStart"/>
      <w:r>
        <w:rPr>
          <w:rFonts w:ascii="Arial" w:hAnsi="Arial" w:cs="Arial"/>
          <w:sz w:val="22"/>
          <w:szCs w:val="22"/>
        </w:rPr>
        <w:t>č.</w:t>
      </w:r>
      <w:proofErr w:type="gramEnd"/>
      <w:r>
        <w:rPr>
          <w:rFonts w:ascii="Arial" w:hAnsi="Arial" w:cs="Arial"/>
          <w:sz w:val="22"/>
          <w:szCs w:val="22"/>
        </w:rPr>
        <w:t xml:space="preserve"> 250/2014 Sb., o změně zákonů souvisejících s přijetím zákona o státní službě, ve znění pozdějších předpisů</w:t>
      </w:r>
    </w:p>
    <w:p w:rsidR="00A26566" w:rsidRDefault="00A26566" w:rsidP="00A2656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nař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vl</w:t>
      </w:r>
      <w:proofErr w:type="spellEnd"/>
      <w:r>
        <w:rPr>
          <w:rFonts w:ascii="Arial" w:hAnsi="Arial" w:cs="Arial"/>
          <w:sz w:val="22"/>
          <w:szCs w:val="22"/>
        </w:rPr>
        <w:t>. č. 302/2014 Sb., o katalogu správních činností, ve znění pozdějších předpisů</w:t>
      </w:r>
    </w:p>
    <w:p w:rsidR="00A26566" w:rsidRDefault="00A26566" w:rsidP="00A2656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nař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vl</w:t>
      </w:r>
      <w:proofErr w:type="spellEnd"/>
      <w:r>
        <w:rPr>
          <w:rFonts w:ascii="Arial" w:hAnsi="Arial" w:cs="Arial"/>
          <w:sz w:val="22"/>
          <w:szCs w:val="22"/>
        </w:rPr>
        <w:t xml:space="preserve">. č. 304/2014 Sb., o platových poměrech státních zaměstnanců, ve znění pozdějších předpisů </w:t>
      </w:r>
    </w:p>
    <w:p w:rsidR="00A26566" w:rsidRDefault="00A26566" w:rsidP="00A2656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nař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vl</w:t>
      </w:r>
      <w:proofErr w:type="spellEnd"/>
      <w:r>
        <w:rPr>
          <w:rFonts w:ascii="Arial" w:hAnsi="Arial" w:cs="Arial"/>
          <w:sz w:val="22"/>
          <w:szCs w:val="22"/>
        </w:rPr>
        <w:t>. č. 106/2015 Sb., o oborech státní služby, ve znění pozdějších předpisů</w:t>
      </w:r>
    </w:p>
    <w:p w:rsidR="00A26566" w:rsidRDefault="00A26566" w:rsidP="00A2656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nař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vl</w:t>
      </w:r>
      <w:proofErr w:type="spellEnd"/>
      <w:r>
        <w:rPr>
          <w:rFonts w:ascii="Arial" w:hAnsi="Arial" w:cs="Arial"/>
          <w:sz w:val="22"/>
          <w:szCs w:val="22"/>
        </w:rPr>
        <w:t>. č. 134/2015 Sb., o podrobnostech služebního hodnocení státních zaměstnanců a vazbě výsledku služebního hodnocení na osobní příplatek státního zaměstnance</w:t>
      </w:r>
    </w:p>
    <w:p w:rsidR="00A26566" w:rsidRDefault="00A26566" w:rsidP="00A2656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vyhl</w:t>
      </w:r>
      <w:proofErr w:type="spellEnd"/>
      <w:r>
        <w:rPr>
          <w:rFonts w:ascii="Arial" w:hAnsi="Arial" w:cs="Arial"/>
          <w:sz w:val="22"/>
          <w:szCs w:val="22"/>
        </w:rPr>
        <w:t>. č. 162/2015 Sb., o podrobnostech úřednické zkoušky, ve znění pozdějších předpisů a</w:t>
      </w:r>
    </w:p>
    <w:p w:rsidR="00A26566" w:rsidRDefault="00A26566" w:rsidP="00A265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ně navazujícími interními předpisy.</w:t>
      </w:r>
    </w:p>
    <w:p w:rsidR="00A26566" w:rsidRDefault="00A26566" w:rsidP="00A26566">
      <w:pPr>
        <w:jc w:val="both"/>
        <w:rPr>
          <w:rFonts w:ascii="Arial" w:hAnsi="Arial" w:cs="Arial"/>
          <w:sz w:val="22"/>
          <w:szCs w:val="22"/>
        </w:rPr>
      </w:pPr>
    </w:p>
    <w:p w:rsidR="00A26566" w:rsidRDefault="00A26566" w:rsidP="00A265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 uvedeného výčtu právních předpisů je zřejmé, že struktura služebních míst ve Finanční správě ČR je detailně rozpracována až na jednotlivá systemizovaná místa s tím, že ke každému z takto </w:t>
      </w:r>
      <w:proofErr w:type="gramStart"/>
      <w:r>
        <w:rPr>
          <w:rFonts w:ascii="Arial" w:hAnsi="Arial" w:cs="Arial"/>
          <w:sz w:val="22"/>
          <w:szCs w:val="22"/>
        </w:rPr>
        <w:t>systemizovanému místu</w:t>
      </w:r>
      <w:proofErr w:type="gramEnd"/>
      <w:r>
        <w:rPr>
          <w:rFonts w:ascii="Arial" w:hAnsi="Arial" w:cs="Arial"/>
          <w:sz w:val="22"/>
          <w:szCs w:val="22"/>
        </w:rPr>
        <w:t xml:space="preserve"> je přiřazen požadovaný stupeň vzdělání a tomu odpovídající tarifní třída.  </w:t>
      </w:r>
    </w:p>
    <w:p w:rsidR="00A26566" w:rsidRDefault="00A26566" w:rsidP="00A26566">
      <w:pPr>
        <w:jc w:val="both"/>
        <w:rPr>
          <w:rFonts w:ascii="Arial" w:hAnsi="Arial" w:cs="Arial"/>
          <w:sz w:val="22"/>
          <w:szCs w:val="22"/>
        </w:rPr>
      </w:pPr>
    </w:p>
    <w:p w:rsidR="00A26566" w:rsidRDefault="00A26566" w:rsidP="00A265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Aby se mohl uchazeč ucházet o služební poměr ve finanční správě, musí prokázat, že splňuje předepsané kvalifikační předpoklady, které jsou předepsány pro příslušné systemizované místo. V případě, kdy tyto kvalifikační požadavky uchazeč neprokáže příslušnými listinnými důkazy, není pozván do výběrového řízení, které je nezbytným předpokladem pro případný vznik služebního poměru. </w:t>
      </w:r>
    </w:p>
    <w:p w:rsidR="00A26566" w:rsidRDefault="00A26566" w:rsidP="00A26566">
      <w:pPr>
        <w:jc w:val="both"/>
        <w:rPr>
          <w:rFonts w:ascii="Arial" w:hAnsi="Arial" w:cs="Arial"/>
          <w:sz w:val="22"/>
          <w:szCs w:val="22"/>
        </w:rPr>
      </w:pPr>
    </w:p>
    <w:p w:rsidR="00A26566" w:rsidRDefault="00A26566" w:rsidP="00A265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průběhu služebního poměru je státní zaměstnanec odměňován dle shora citovaných právních předpisů. Výše odměny je tak odvislá od zařazení státního </w:t>
      </w:r>
      <w:proofErr w:type="gramStart"/>
      <w:r>
        <w:rPr>
          <w:rFonts w:ascii="Arial" w:hAnsi="Arial" w:cs="Arial"/>
          <w:sz w:val="22"/>
          <w:szCs w:val="22"/>
        </w:rPr>
        <w:t>zaměstnance                na</w:t>
      </w:r>
      <w:proofErr w:type="gramEnd"/>
      <w:r>
        <w:rPr>
          <w:rFonts w:ascii="Arial" w:hAnsi="Arial" w:cs="Arial"/>
          <w:sz w:val="22"/>
          <w:szCs w:val="22"/>
        </w:rPr>
        <w:t xml:space="preserve"> konkrétní systemizované místo, dalším kritériem je zejména počet odpracovaných let (význam pro určení odpovídajícího platového stupně) a výše osobního ohodnocení, jež je rovněž limitována obecně závazným právním předpisem. </w:t>
      </w:r>
    </w:p>
    <w:p w:rsidR="00A26566" w:rsidRDefault="00A26566" w:rsidP="00A26566">
      <w:pPr>
        <w:jc w:val="both"/>
        <w:rPr>
          <w:rFonts w:ascii="Arial" w:hAnsi="Arial" w:cs="Arial"/>
          <w:sz w:val="22"/>
          <w:szCs w:val="22"/>
        </w:rPr>
      </w:pPr>
    </w:p>
    <w:p w:rsidR="00A26566" w:rsidRDefault="00A26566" w:rsidP="00A265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celou dobu výkonu služby podléhá každý státní zaměstnanec každoročně služebnímu hodnocení podle pevně stanovených kritérií, mezi něž patří na prvním místě jejich odbornost a znalost předpisů v</w:t>
      </w:r>
      <w:r>
        <w:rPr>
          <w:rFonts w:ascii="Arial" w:hAnsi="Arial" w:cs="Arial"/>
          <w:sz w:val="22"/>
          <w:szCs w:val="22"/>
        </w:rPr>
        <w:t xml:space="preserve"> dané oblasti. </w:t>
      </w:r>
    </w:p>
    <w:p w:rsidR="00A26566" w:rsidRDefault="00A26566" w:rsidP="00A2656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8395"/>
      </w:tblGrid>
      <w:tr w:rsidR="00384095" w:rsidTr="00384095">
        <w:tc>
          <w:tcPr>
            <w:tcW w:w="817" w:type="dxa"/>
          </w:tcPr>
          <w:p w:rsidR="00384095" w:rsidRDefault="00384095" w:rsidP="00A26566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8395" w:type="dxa"/>
          </w:tcPr>
          <w:p w:rsidR="00384095" w:rsidRDefault="00384095" w:rsidP="00384095">
            <w:pPr>
              <w:pStyle w:val="Bezmezer"/>
              <w:jc w:val="both"/>
              <w:rPr>
                <w:rFonts w:ascii="Arial" w:hAnsi="Arial" w:cs="Arial"/>
              </w:rPr>
            </w:pPr>
          </w:p>
        </w:tc>
      </w:tr>
      <w:tr w:rsidR="00384095" w:rsidTr="00384095">
        <w:tc>
          <w:tcPr>
            <w:tcW w:w="817" w:type="dxa"/>
          </w:tcPr>
          <w:p w:rsidR="00384095" w:rsidRDefault="00384095" w:rsidP="00E666C8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8395" w:type="dxa"/>
          </w:tcPr>
          <w:p w:rsidR="00384095" w:rsidRDefault="00384095" w:rsidP="00E666C8">
            <w:pPr>
              <w:pStyle w:val="Bezmezer"/>
              <w:rPr>
                <w:rFonts w:ascii="Arial" w:hAnsi="Arial" w:cs="Arial"/>
              </w:rPr>
            </w:pPr>
          </w:p>
        </w:tc>
      </w:tr>
    </w:tbl>
    <w:p w:rsidR="00E666C8" w:rsidRPr="00E666C8" w:rsidRDefault="00E666C8" w:rsidP="00E666C8">
      <w:pPr>
        <w:pStyle w:val="Bezmezer"/>
        <w:jc w:val="right"/>
      </w:pPr>
    </w:p>
    <w:sectPr w:rsidR="00E666C8" w:rsidRPr="00E66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D32AB"/>
    <w:multiLevelType w:val="hybridMultilevel"/>
    <w:tmpl w:val="33525F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9B4D85"/>
    <w:multiLevelType w:val="hybridMultilevel"/>
    <w:tmpl w:val="ABA6A8A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6C8"/>
    <w:rsid w:val="001A1B41"/>
    <w:rsid w:val="00240D0F"/>
    <w:rsid w:val="00384095"/>
    <w:rsid w:val="00385914"/>
    <w:rsid w:val="009F46AC"/>
    <w:rsid w:val="00A26566"/>
    <w:rsid w:val="00B417C0"/>
    <w:rsid w:val="00C0781B"/>
    <w:rsid w:val="00C67205"/>
    <w:rsid w:val="00DD40AF"/>
    <w:rsid w:val="00E666C8"/>
    <w:rsid w:val="00FF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6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666C8"/>
    <w:pPr>
      <w:spacing w:after="0" w:line="240" w:lineRule="auto"/>
    </w:pPr>
  </w:style>
  <w:style w:type="table" w:styleId="Mkatabulky">
    <w:name w:val="Table Grid"/>
    <w:basedOn w:val="Normlntabulka"/>
    <w:uiPriority w:val="59"/>
    <w:rsid w:val="00E66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A26566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A265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6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666C8"/>
    <w:pPr>
      <w:spacing w:after="0" w:line="240" w:lineRule="auto"/>
    </w:pPr>
  </w:style>
  <w:style w:type="table" w:styleId="Mkatabulky">
    <w:name w:val="Table Grid"/>
    <w:basedOn w:val="Normlntabulka"/>
    <w:uiPriority w:val="59"/>
    <w:rsid w:val="00E66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A26566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A26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245B6-53BF-4D7E-BC7C-D45BED2CE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Vrbková Naděžda JUDr. (FÚ pro Jihomoravský kraj)</dc:creator>
  <cp:lastModifiedBy>Vrbková Naděžda JUDr. (FÚ pro Jihomoravský kraj)</cp:lastModifiedBy>
  <cp:revision>2</cp:revision>
  <cp:lastPrinted>2018-02-02T10:26:00Z</cp:lastPrinted>
  <dcterms:created xsi:type="dcterms:W3CDTF">2018-02-02T10:26:00Z</dcterms:created>
  <dcterms:modified xsi:type="dcterms:W3CDTF">2018-02-02T10:26:00Z</dcterms:modified>
</cp:coreProperties>
</file>