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0A2C" w14:textId="77777777" w:rsidR="00A247A9" w:rsidRDefault="00A247A9" w:rsidP="00A247A9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Finanční úřad pro hlavní město Prahu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</w:rPr>
        <w:t xml:space="preserve">Štěpánská </w:t>
      </w:r>
      <w:proofErr w:type="gramStart"/>
      <w:r>
        <w:rPr>
          <w:rFonts w:ascii="Arial" w:hAnsi="Arial" w:cs="Arial"/>
        </w:rPr>
        <w:t>28,  111</w:t>
      </w:r>
      <w:proofErr w:type="gramEnd"/>
      <w:r>
        <w:rPr>
          <w:rFonts w:ascii="Arial" w:hAnsi="Arial" w:cs="Arial"/>
        </w:rPr>
        <w:t xml:space="preserve"> 21    Praha 1   </w:t>
      </w:r>
    </w:p>
    <w:p w14:paraId="382B2310" w14:textId="5990FEF6" w:rsidR="00A247A9" w:rsidRDefault="00A96272" w:rsidP="00143E6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247A9">
        <w:rPr>
          <w:rFonts w:ascii="Arial" w:hAnsi="Arial" w:cs="Arial"/>
        </w:rPr>
        <w:t>/202</w:t>
      </w:r>
      <w:r w:rsidR="00DB6FC5">
        <w:rPr>
          <w:rFonts w:ascii="Arial" w:hAnsi="Arial" w:cs="Arial"/>
        </w:rPr>
        <w:t>5</w:t>
      </w:r>
    </w:p>
    <w:p w14:paraId="69ECFA19" w14:textId="6BDB928D" w:rsidR="00A247A9" w:rsidRDefault="00A247A9" w:rsidP="00A247A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Poskytnutí informace podle zákona č. 106/1999 Sb., o svobodném přístupu k informacím, </w:t>
      </w:r>
      <w:r>
        <w:rPr>
          <w:rFonts w:ascii="Arial" w:hAnsi="Arial" w:cs="Arial"/>
        </w:rPr>
        <w:br/>
        <w:t>ve znění pozdějších předpisů</w:t>
      </w:r>
    </w:p>
    <w:p w14:paraId="35727A2F" w14:textId="041A67ED" w:rsidR="00A247A9" w:rsidRDefault="00A247A9" w:rsidP="00A247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Finanční úřad pro hlavní město Prahu poskytl postupem podle zákona č. 106/1999 Sb., </w:t>
      </w:r>
      <w:r>
        <w:rPr>
          <w:rFonts w:ascii="Arial" w:hAnsi="Arial" w:cs="Arial"/>
        </w:rPr>
        <w:br/>
        <w:t xml:space="preserve">o svobodném přístupu k informacím, ve znění pozdějších předpisů, níže uvedené informace. </w:t>
      </w:r>
    </w:p>
    <w:p w14:paraId="439C64BA" w14:textId="769B204F" w:rsidR="00A247A9" w:rsidRDefault="00A247A9" w:rsidP="00A247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Žádostí byla po povinném subjektu požadována následující informace: </w:t>
      </w:r>
    </w:p>
    <w:p w14:paraId="717A39DA" w14:textId="77777777" w:rsidR="00A96272" w:rsidRPr="00DB3250" w:rsidRDefault="00A96272" w:rsidP="00A96272">
      <w:pPr>
        <w:spacing w:after="120"/>
        <w:contextualSpacing/>
        <w:jc w:val="both"/>
        <w:rPr>
          <w:rFonts w:ascii="Arial" w:hAnsi="Arial" w:cs="Arial"/>
          <w:i/>
          <w:iCs/>
        </w:rPr>
      </w:pPr>
      <w:r w:rsidRPr="00DB3250">
        <w:rPr>
          <w:rFonts w:ascii="Arial" w:hAnsi="Arial" w:cs="Arial"/>
          <w:i/>
          <w:iCs/>
        </w:rPr>
        <w:t xml:space="preserve">„1. Kolik žádostí o promíjení úroků z prodlení dle ustanovení § 259b daňového řádu obdržel Finanční úřad pro </w:t>
      </w:r>
      <w:r>
        <w:rPr>
          <w:rFonts w:ascii="Arial" w:hAnsi="Arial" w:cs="Arial"/>
          <w:i/>
          <w:iCs/>
        </w:rPr>
        <w:t>hlavní město Prahu</w:t>
      </w:r>
      <w:r w:rsidRPr="00DB3250">
        <w:rPr>
          <w:rFonts w:ascii="Arial" w:hAnsi="Arial" w:cs="Arial"/>
          <w:i/>
          <w:iCs/>
        </w:rPr>
        <w:t xml:space="preserve"> ode dne 1. 2. 2023 doposud.</w:t>
      </w:r>
    </w:p>
    <w:p w14:paraId="790A5155" w14:textId="77777777" w:rsidR="00A96272" w:rsidRPr="00DB3250" w:rsidRDefault="00A96272" w:rsidP="00A96272">
      <w:pPr>
        <w:spacing w:after="120"/>
        <w:contextualSpacing/>
        <w:jc w:val="both"/>
        <w:rPr>
          <w:rFonts w:ascii="Arial" w:hAnsi="Arial" w:cs="Arial"/>
          <w:i/>
          <w:iCs/>
        </w:rPr>
      </w:pPr>
      <w:r w:rsidRPr="00DB3250">
        <w:rPr>
          <w:rFonts w:ascii="Arial" w:hAnsi="Arial" w:cs="Arial"/>
          <w:i/>
          <w:iCs/>
        </w:rPr>
        <w:t>2. Kolik</w:t>
      </w:r>
      <w:r>
        <w:rPr>
          <w:rFonts w:ascii="Arial" w:hAnsi="Arial" w:cs="Arial"/>
          <w:i/>
          <w:iCs/>
        </w:rPr>
        <w:t>a</w:t>
      </w:r>
      <w:r w:rsidRPr="00DB3250">
        <w:rPr>
          <w:rFonts w:ascii="Arial" w:hAnsi="Arial" w:cs="Arial"/>
          <w:i/>
          <w:iCs/>
        </w:rPr>
        <w:t xml:space="preserve"> žádostem o promíjení úroků z prodlení dle § 259b daňového řádu Finanční úřad pro </w:t>
      </w:r>
      <w:r>
        <w:rPr>
          <w:rFonts w:ascii="Arial" w:hAnsi="Arial" w:cs="Arial"/>
          <w:i/>
          <w:iCs/>
        </w:rPr>
        <w:t xml:space="preserve">hlavní město Prahu </w:t>
      </w:r>
      <w:r w:rsidRPr="00DB3250">
        <w:rPr>
          <w:rFonts w:ascii="Arial" w:hAnsi="Arial" w:cs="Arial"/>
          <w:i/>
          <w:iCs/>
        </w:rPr>
        <w:t>j celkově od 1. 2. 2023 doposud vyhověl.</w:t>
      </w:r>
    </w:p>
    <w:p w14:paraId="1BDF34E0" w14:textId="77777777" w:rsidR="00A96272" w:rsidRPr="00DB3250" w:rsidRDefault="00A96272" w:rsidP="00A96272">
      <w:pPr>
        <w:spacing w:after="120"/>
        <w:contextualSpacing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3</w:t>
      </w:r>
      <w:r w:rsidRPr="00DB3250">
        <w:rPr>
          <w:rFonts w:ascii="Arial" w:hAnsi="Arial" w:cs="Arial"/>
          <w:i/>
          <w:iCs/>
        </w:rPr>
        <w:t>. Kolik</w:t>
      </w:r>
      <w:r>
        <w:rPr>
          <w:rFonts w:ascii="Arial" w:hAnsi="Arial" w:cs="Arial"/>
          <w:i/>
          <w:iCs/>
        </w:rPr>
        <w:t>a</w:t>
      </w:r>
      <w:r w:rsidRPr="00DB3250">
        <w:rPr>
          <w:rFonts w:ascii="Arial" w:hAnsi="Arial" w:cs="Arial"/>
          <w:i/>
          <w:iCs/>
        </w:rPr>
        <w:t xml:space="preserve"> žádostem o promíjení úroků z prodlení dle § 259b daňového řádu nad rámec Pokynů GFŘ Finanční úřad pro </w:t>
      </w:r>
      <w:r>
        <w:rPr>
          <w:rFonts w:ascii="Arial" w:hAnsi="Arial" w:cs="Arial"/>
          <w:i/>
          <w:iCs/>
        </w:rPr>
        <w:t>hlavní město Prahu</w:t>
      </w:r>
      <w:r w:rsidRPr="00DB3250">
        <w:rPr>
          <w:rFonts w:ascii="Arial" w:hAnsi="Arial" w:cs="Arial"/>
          <w:i/>
          <w:iCs/>
        </w:rPr>
        <w:t xml:space="preserve"> celkově od 1. 2. 2023 doposud vyhověl.“.</w:t>
      </w:r>
    </w:p>
    <w:p w14:paraId="2FBE1B56" w14:textId="77777777" w:rsidR="00A96272" w:rsidRDefault="00A96272" w:rsidP="00A247A9">
      <w:pPr>
        <w:jc w:val="both"/>
        <w:rPr>
          <w:rFonts w:ascii="Arial" w:hAnsi="Arial" w:cs="Arial"/>
        </w:rPr>
      </w:pPr>
    </w:p>
    <w:p w14:paraId="5540F355" w14:textId="7636CA74" w:rsidR="00A247A9" w:rsidRDefault="00DB6FC5" w:rsidP="00A247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962710">
        <w:rPr>
          <w:rFonts w:ascii="Arial" w:hAnsi="Arial" w:cs="Arial"/>
        </w:rPr>
        <w:t xml:space="preserve"> </w:t>
      </w:r>
      <w:r w:rsidR="00A247A9">
        <w:rPr>
          <w:rFonts w:ascii="Arial" w:hAnsi="Arial" w:cs="Arial"/>
        </w:rPr>
        <w:t xml:space="preserve">žádosti bylo sděleno následující: </w:t>
      </w:r>
      <w:r w:rsidR="00962710">
        <w:rPr>
          <w:rFonts w:ascii="Arial" w:hAnsi="Arial" w:cs="Arial"/>
        </w:rPr>
        <w:t xml:space="preserve">  </w:t>
      </w:r>
    </w:p>
    <w:p w14:paraId="39860591" w14:textId="77777777" w:rsidR="00A96272" w:rsidRDefault="00A96272" w:rsidP="00A96272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 1. </w:t>
      </w:r>
    </w:p>
    <w:p w14:paraId="65904BBD" w14:textId="77777777" w:rsidR="00A96272" w:rsidRDefault="00A96272" w:rsidP="00A9627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Povinný subjekt za uvedené období obdržel celkem </w:t>
      </w:r>
      <w:proofErr w:type="gramStart"/>
      <w:r w:rsidRPr="00131F75">
        <w:rPr>
          <w:rFonts w:ascii="Arial" w:hAnsi="Arial" w:cs="Arial"/>
          <w:b/>
          <w:bCs/>
        </w:rPr>
        <w:t xml:space="preserve">1360 </w:t>
      </w:r>
      <w:r w:rsidRPr="001F3782">
        <w:rPr>
          <w:rFonts w:ascii="Arial" w:hAnsi="Arial" w:cs="Arial"/>
          <w:b/>
          <w:bCs/>
        </w:rPr>
        <w:t xml:space="preserve"> žádostí</w:t>
      </w:r>
      <w:proofErr w:type="gramEnd"/>
      <w:r>
        <w:rPr>
          <w:rFonts w:ascii="Arial" w:hAnsi="Arial" w:cs="Arial"/>
        </w:rPr>
        <w:t xml:space="preserve"> o promíjení úroků z prodlení dle ustanovení § 259b daňového řádu.</w:t>
      </w:r>
    </w:p>
    <w:p w14:paraId="6BB6771C" w14:textId="77777777" w:rsidR="00A96272" w:rsidRDefault="00A96272" w:rsidP="00A96272">
      <w:pPr>
        <w:spacing w:after="0"/>
        <w:jc w:val="both"/>
        <w:rPr>
          <w:rFonts w:ascii="Arial" w:hAnsi="Arial" w:cs="Arial"/>
        </w:rPr>
      </w:pPr>
    </w:p>
    <w:p w14:paraId="52046B20" w14:textId="77777777" w:rsidR="00A96272" w:rsidRDefault="00A96272" w:rsidP="00A96272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2.</w:t>
      </w:r>
    </w:p>
    <w:p w14:paraId="0E8E9181" w14:textId="77777777" w:rsidR="00A96272" w:rsidRDefault="00A96272" w:rsidP="00A96272">
      <w:pPr>
        <w:spacing w:after="0"/>
        <w:contextualSpacing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Povinný subjekt za uvedené období vyhověl celkem </w:t>
      </w:r>
      <w:r>
        <w:rPr>
          <w:rFonts w:ascii="Arial" w:hAnsi="Arial" w:cs="Arial"/>
          <w:b/>
          <w:bCs/>
        </w:rPr>
        <w:t xml:space="preserve">588 </w:t>
      </w:r>
      <w:r w:rsidRPr="001F3782">
        <w:rPr>
          <w:rFonts w:ascii="Arial" w:hAnsi="Arial" w:cs="Arial"/>
          <w:b/>
          <w:bCs/>
        </w:rPr>
        <w:t>žádostem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o promíjení úroků z prodlení dle ustanovení § 259b daňového řádu</w:t>
      </w:r>
      <w:r w:rsidRPr="001F3782">
        <w:rPr>
          <w:rFonts w:ascii="Arial" w:hAnsi="Arial" w:cs="Arial"/>
          <w:b/>
          <w:bCs/>
        </w:rPr>
        <w:t>.</w:t>
      </w:r>
    </w:p>
    <w:p w14:paraId="0E70C467" w14:textId="77777777" w:rsidR="00A96272" w:rsidRPr="00F619D7" w:rsidRDefault="00A96272" w:rsidP="00A96272">
      <w:pPr>
        <w:spacing w:after="0"/>
        <w:contextualSpacing/>
        <w:jc w:val="both"/>
        <w:rPr>
          <w:rFonts w:ascii="Arial" w:hAnsi="Arial" w:cs="Arial"/>
        </w:rPr>
      </w:pPr>
      <w:r w:rsidRPr="00F619D7">
        <w:rPr>
          <w:rFonts w:ascii="Arial" w:hAnsi="Arial" w:cs="Arial"/>
        </w:rPr>
        <w:t xml:space="preserve">Povinný subjekt upozorňuje, že </w:t>
      </w:r>
      <w:r>
        <w:rPr>
          <w:rFonts w:ascii="Arial" w:hAnsi="Arial" w:cs="Arial"/>
        </w:rPr>
        <w:t xml:space="preserve">v uvedeném počtu žádostí jsou zahrnuty i ty situace, kdy správce daně vyhověl daňovému subjektu jen částečně, např. i jen </w:t>
      </w:r>
      <w:proofErr w:type="gramStart"/>
      <w:r>
        <w:rPr>
          <w:rFonts w:ascii="Arial" w:hAnsi="Arial" w:cs="Arial"/>
        </w:rPr>
        <w:t>10%</w:t>
      </w:r>
      <w:proofErr w:type="gramEnd"/>
      <w:r>
        <w:rPr>
          <w:rFonts w:ascii="Arial" w:hAnsi="Arial" w:cs="Arial"/>
        </w:rPr>
        <w:t xml:space="preserve"> z požadované částky prominutí. I takové případy jsou evidovány a označeny v informačním systému u způsobu vyřízení žádosti – </w:t>
      </w:r>
      <w:r w:rsidRPr="00C8706E">
        <w:rPr>
          <w:rFonts w:ascii="Arial" w:hAnsi="Arial" w:cs="Arial"/>
          <w:i/>
          <w:iCs/>
        </w:rPr>
        <w:t xml:space="preserve">žádosti </w:t>
      </w:r>
      <w:r w:rsidRPr="00F619D7">
        <w:rPr>
          <w:rFonts w:ascii="Arial" w:hAnsi="Arial" w:cs="Arial"/>
          <w:i/>
          <w:iCs/>
        </w:rPr>
        <w:t>vyhově</w:t>
      </w:r>
      <w:r>
        <w:rPr>
          <w:rFonts w:ascii="Arial" w:hAnsi="Arial" w:cs="Arial"/>
          <w:i/>
          <w:iCs/>
        </w:rPr>
        <w:t>no.</w:t>
      </w:r>
      <w:r w:rsidRPr="00F619D7">
        <w:rPr>
          <w:rFonts w:ascii="Arial" w:hAnsi="Arial" w:cs="Arial"/>
        </w:rPr>
        <w:t xml:space="preserve"> </w:t>
      </w:r>
    </w:p>
    <w:p w14:paraId="172B6249" w14:textId="77777777" w:rsidR="00A96272" w:rsidRDefault="00A96272" w:rsidP="00A96272">
      <w:pPr>
        <w:spacing w:after="0"/>
        <w:contextualSpacing/>
        <w:jc w:val="both"/>
        <w:rPr>
          <w:rFonts w:ascii="Arial" w:hAnsi="Arial" w:cs="Arial"/>
        </w:rPr>
      </w:pPr>
    </w:p>
    <w:p w14:paraId="76664D34" w14:textId="77777777" w:rsidR="00A96272" w:rsidRDefault="00A96272" w:rsidP="00A96272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3.</w:t>
      </w:r>
    </w:p>
    <w:p w14:paraId="4DACB70E" w14:textId="77777777" w:rsidR="00A96272" w:rsidRDefault="00A96272" w:rsidP="00A96272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Povinný subjekt za uvedené období vyhověl </w:t>
      </w:r>
      <w:proofErr w:type="gramStart"/>
      <w:r>
        <w:rPr>
          <w:rFonts w:ascii="Arial" w:hAnsi="Arial" w:cs="Arial"/>
        </w:rPr>
        <w:t xml:space="preserve">celkem </w:t>
      </w:r>
      <w:r w:rsidRPr="001F378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22</w:t>
      </w:r>
      <w:proofErr w:type="gramEnd"/>
      <w:r>
        <w:rPr>
          <w:rFonts w:ascii="Arial" w:hAnsi="Arial" w:cs="Arial"/>
          <w:b/>
          <w:bCs/>
        </w:rPr>
        <w:t xml:space="preserve"> </w:t>
      </w:r>
      <w:r w:rsidRPr="001F3782">
        <w:rPr>
          <w:rFonts w:ascii="Arial" w:hAnsi="Arial" w:cs="Arial"/>
          <w:b/>
          <w:bCs/>
        </w:rPr>
        <w:t>žádostem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o promíjení úroků z prodlení dle ustanovení § 259b daňového řádu nad rámec Pokynů GFŘ. </w:t>
      </w:r>
    </w:p>
    <w:p w14:paraId="75F774F7" w14:textId="77777777" w:rsidR="00A96272" w:rsidRDefault="00A96272" w:rsidP="00A96272">
      <w:pPr>
        <w:spacing w:after="120"/>
        <w:contextualSpacing/>
        <w:jc w:val="both"/>
        <w:rPr>
          <w:rFonts w:ascii="Arial" w:hAnsi="Arial" w:cs="Arial"/>
        </w:rPr>
      </w:pPr>
    </w:p>
    <w:p w14:paraId="3A0AAC23" w14:textId="77777777" w:rsidR="00A96272" w:rsidRDefault="00A96272" w:rsidP="00A247A9">
      <w:pPr>
        <w:jc w:val="both"/>
        <w:rPr>
          <w:rFonts w:ascii="Arial" w:hAnsi="Arial" w:cs="Arial"/>
        </w:rPr>
      </w:pPr>
    </w:p>
    <w:sectPr w:rsidR="00A96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F002E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50EC6"/>
    <w:multiLevelType w:val="hybridMultilevel"/>
    <w:tmpl w:val="195EAC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701E9"/>
    <w:multiLevelType w:val="hybridMultilevel"/>
    <w:tmpl w:val="9F089E1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624D1"/>
    <w:multiLevelType w:val="hybridMultilevel"/>
    <w:tmpl w:val="1FCC313C"/>
    <w:lvl w:ilvl="0" w:tplc="E5883EC2">
      <w:start w:val="1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497F"/>
    <w:multiLevelType w:val="hybridMultilevel"/>
    <w:tmpl w:val="C4E4EA6C"/>
    <w:lvl w:ilvl="0" w:tplc="E5883EC2">
      <w:start w:val="1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92A0A"/>
    <w:multiLevelType w:val="hybridMultilevel"/>
    <w:tmpl w:val="5F78D41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B415D"/>
    <w:multiLevelType w:val="hybridMultilevel"/>
    <w:tmpl w:val="A70ADD48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33DE2"/>
    <w:multiLevelType w:val="hybridMultilevel"/>
    <w:tmpl w:val="AECAEB36"/>
    <w:lvl w:ilvl="0" w:tplc="E5883EC2">
      <w:start w:val="1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574C8"/>
    <w:multiLevelType w:val="hybridMultilevel"/>
    <w:tmpl w:val="CD4C680C"/>
    <w:lvl w:ilvl="0" w:tplc="E5883EC2">
      <w:start w:val="1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D27D4"/>
    <w:multiLevelType w:val="hybridMultilevel"/>
    <w:tmpl w:val="EB6AC270"/>
    <w:lvl w:ilvl="0" w:tplc="3D80E18A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3931728"/>
    <w:multiLevelType w:val="hybridMultilevel"/>
    <w:tmpl w:val="339AFA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585482">
    <w:abstractNumId w:val="10"/>
  </w:num>
  <w:num w:numId="2" w16cid:durableId="1857495307">
    <w:abstractNumId w:val="6"/>
  </w:num>
  <w:num w:numId="3" w16cid:durableId="1840462903">
    <w:abstractNumId w:val="2"/>
  </w:num>
  <w:num w:numId="4" w16cid:durableId="1889681286">
    <w:abstractNumId w:val="5"/>
  </w:num>
  <w:num w:numId="5" w16cid:durableId="390618535">
    <w:abstractNumId w:val="9"/>
  </w:num>
  <w:num w:numId="6" w16cid:durableId="1927154003">
    <w:abstractNumId w:val="0"/>
  </w:num>
  <w:num w:numId="7" w16cid:durableId="1325283107">
    <w:abstractNumId w:val="3"/>
  </w:num>
  <w:num w:numId="8" w16cid:durableId="1364359257">
    <w:abstractNumId w:val="7"/>
  </w:num>
  <w:num w:numId="9" w16cid:durableId="1191148341">
    <w:abstractNumId w:val="8"/>
  </w:num>
  <w:num w:numId="10" w16cid:durableId="14157387">
    <w:abstractNumId w:val="4"/>
  </w:num>
  <w:num w:numId="11" w16cid:durableId="1790466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A9"/>
    <w:rsid w:val="00082ACE"/>
    <w:rsid w:val="000D4C11"/>
    <w:rsid w:val="00143E6D"/>
    <w:rsid w:val="002012D9"/>
    <w:rsid w:val="00357A1E"/>
    <w:rsid w:val="003671E8"/>
    <w:rsid w:val="003F4FD5"/>
    <w:rsid w:val="004A5DE0"/>
    <w:rsid w:val="00665FE8"/>
    <w:rsid w:val="0086207F"/>
    <w:rsid w:val="00962710"/>
    <w:rsid w:val="00A247A9"/>
    <w:rsid w:val="00A96272"/>
    <w:rsid w:val="00B20681"/>
    <w:rsid w:val="00C565E5"/>
    <w:rsid w:val="00D227C0"/>
    <w:rsid w:val="00DB6FC5"/>
    <w:rsid w:val="00ED1874"/>
    <w:rsid w:val="00F4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5DC2"/>
  <w15:chartTrackingRefBased/>
  <w15:docId w15:val="{EB69115B-A406-47F9-9041-B9434C98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47A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247A9"/>
    <w:rPr>
      <w:color w:val="0563C1" w:themeColor="hyperlink"/>
      <w:u w:val="single"/>
    </w:rPr>
  </w:style>
  <w:style w:type="paragraph" w:customStyle="1" w:styleId="Default">
    <w:name w:val="Default"/>
    <w:rsid w:val="00082A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82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GFR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Bardonková Miroslava Mgr. (FÚ pro hlavní město Prahu)</dc:creator>
  <cp:keywords/>
  <dc:description/>
  <cp:lastModifiedBy>Bardonková Miroslava Mgr. (FÚ pro hlavní město Prahu)</cp:lastModifiedBy>
  <cp:revision>15</cp:revision>
  <dcterms:created xsi:type="dcterms:W3CDTF">2022-11-15T09:53:00Z</dcterms:created>
  <dcterms:modified xsi:type="dcterms:W3CDTF">2026-09-14T12:35:00Z</dcterms:modified>
</cp:coreProperties>
</file>